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88R12147 AMF-F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3760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discipline of students enrolled in certain grade levels or receiving special education services in a public school.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37.0013(a),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Each school district and open-enrollment charter school may develop and implement a program, in consultation with campus behavior coordinators employed by the district or school and representatives of a regional education service center, that provides a disciplinary alternative for a student enrolled in a grade level below grade </w:t>
      </w:r>
      <w:r>
        <w:rPr>
          <w:u w:val="single"/>
        </w:rPr>
        <w:t xml:space="preserve">six or a student with a disability receiving special education services under Subchapter A, Chapter 29,</w:t>
      </w:r>
      <w:r>
        <w:t xml:space="preserve"> [</w:t>
      </w:r>
      <w:r>
        <w:rPr>
          <w:strike/>
        </w:rPr>
        <w:t xml:space="preserve">three</w:t>
      </w:r>
      <w:r>
        <w:t xml:space="preserve">] who engages in conduct described by Section 37.005(a) and is not subject to Section 37.005(c).  The program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be age-appropriate and research-based;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provide models for positive behavior;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promote a positive school environment;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provide alternative disciplinary courses of action that do not rely on the use of in-school suspension, out-of-school suspension, or placement in a disciplinary alternative education program to manage student behavior;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provide behavior management strategies,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positive behavioral intervention and support;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trauma-informed practices;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social and emotional learning;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referral for services, as necessary;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restorative practices.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37.005(c),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student who is enrolled in a grade level below grade </w:t>
      </w:r>
      <w:r>
        <w:rPr>
          <w:u w:val="single"/>
        </w:rPr>
        <w:t xml:space="preserve">six</w:t>
      </w:r>
      <w:r>
        <w:t xml:space="preserve"> [</w:t>
      </w:r>
      <w:r>
        <w:rPr>
          <w:strike/>
        </w:rPr>
        <w:t xml:space="preserve">three</w:t>
      </w:r>
      <w:r>
        <w:t xml:space="preserve">] may not be placed in out-of-school suspension unless while on school property or while attending a school-sponsored or school-related activity on or off of school property, the student engages in: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conduct that contains the elements of an offense related to weapons under Section 46.02 or 46.05, Penal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conduct that contains the elements of a violent offense under Section 22.01, 22.011, 22.02, or 22.021, Penal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selling, giving, or delivering to another person or possessing, using, or being under the influence of any amount of: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marihuana or a controlled substance, as defined by Chapter 481, Health and Safety Code, or by 21 U.S.C. Section 801 et seq.;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dangerous drug, as defined by Chapter 483, Health and Safety Code;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alcoholic beverage, as defined by Section 1.04, Alcoholic Beverage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3760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