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3765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 supply of luggage by the Department of Family and Protective Services for the transport of the personal belongings of a foster child.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263.008(b), Family Code, is amended to read as follows:</w:t>
      </w:r>
    </w:p>
    <w:p w:rsidR="003F3435" w:rsidRDefault="0032493E">
      <w:pPr>
        <w:spacing w:line="480" w:lineRule="auto"/>
        <w:ind w:firstLine="720"/>
        <w:jc w:val="both"/>
      </w:pPr>
      <w:r>
        <w:t xml:space="preserve">(b)</w:t>
      </w:r>
      <w:r xml:space="preserve">
        <w:t> </w:t>
      </w:r>
      <w:r xml:space="preserve">
        <w:t> </w:t>
      </w:r>
      <w:r>
        <w:t xml:space="preserve">It is the policy of this state that each child in foster care be informed of the child's rights provided by state or federal law or policy that relate to:</w:t>
      </w:r>
    </w:p>
    <w:p w:rsidR="003F3435" w:rsidRDefault="0032493E">
      <w:pPr>
        <w:spacing w:line="480" w:lineRule="auto"/>
        <w:ind w:firstLine="1440"/>
        <w:jc w:val="both"/>
      </w:pPr>
      <w:r>
        <w:t xml:space="preserve">(1)</w:t>
      </w:r>
      <w:r xml:space="preserve">
        <w:t> </w:t>
      </w:r>
      <w:r xml:space="preserve">
        <w:t> </w:t>
      </w:r>
      <w:r>
        <w:t xml:space="preserve">abuse, neglect, exploitation, discrimination, and harassment;</w:t>
      </w:r>
    </w:p>
    <w:p w:rsidR="003F3435" w:rsidRDefault="0032493E">
      <w:pPr>
        <w:spacing w:line="480" w:lineRule="auto"/>
        <w:ind w:firstLine="1440"/>
        <w:jc w:val="both"/>
      </w:pPr>
      <w:r>
        <w:t xml:space="preserve">(2)</w:t>
      </w:r>
      <w:r xml:space="preserve">
        <w:t> </w:t>
      </w:r>
      <w:r xml:space="preserve">
        <w:t> </w:t>
      </w:r>
      <w:r>
        <w:t xml:space="preserve">food, clothing, shelter, and education;</w:t>
      </w:r>
    </w:p>
    <w:p w:rsidR="003F3435" w:rsidRDefault="0032493E">
      <w:pPr>
        <w:spacing w:line="480" w:lineRule="auto"/>
        <w:ind w:firstLine="1440"/>
        <w:jc w:val="both"/>
      </w:pPr>
      <w:r>
        <w:t xml:space="preserve">(3)</w:t>
      </w:r>
      <w:r xml:space="preserve">
        <w:t> </w:t>
      </w:r>
      <w:r xml:space="preserve">
        <w:t> </w:t>
      </w:r>
      <w:r>
        <w:rPr>
          <w:u w:val="single"/>
        </w:rPr>
        <w:t xml:space="preserve">luggage to transport the child's personal belongings;</w:t>
      </w:r>
    </w:p>
    <w:p w:rsidR="003F3435" w:rsidRDefault="0032493E">
      <w:pPr>
        <w:spacing w:line="480" w:lineRule="auto"/>
        <w:ind w:firstLine="1440"/>
        <w:jc w:val="both"/>
      </w:pPr>
      <w:r>
        <w:rPr>
          <w:u w:val="single"/>
        </w:rPr>
        <w:t xml:space="preserve">(4)</w:t>
      </w:r>
      <w:r xml:space="preserve">
        <w:t> </w:t>
      </w:r>
      <w:r xml:space="preserve">
        <w:t> </w:t>
      </w:r>
      <w:r>
        <w:t xml:space="preserve">medical, dental, vision, and mental health services, including the right of the child to consent to treatment;</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emergency behavioral intervention, including what methods are permitted, the conditions under which it may be used, and the precautions that must be taken when administering it;</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placement with the child's siblings and contact with members of the child's family;</w:t>
      </w:r>
    </w:p>
    <w:p w:rsidR="003F3435" w:rsidRDefault="0032493E">
      <w:pPr>
        <w:spacing w:line="480" w:lineRule="auto"/>
        <w:ind w:firstLine="1440"/>
        <w:jc w:val="both"/>
      </w:pPr>
      <w:r>
        <w:rPr>
          <w:u w:val="single"/>
        </w:rPr>
        <w:t xml:space="preserve">(7)</w:t>
      </w:r>
      <w:r xml:space="preserve">
        <w:t> </w:t>
      </w:r>
      <w:r>
        <w:t xml:space="preserve">[</w:t>
      </w:r>
      <w:r>
        <w:rPr>
          <w:strike/>
        </w:rPr>
        <w:t xml:space="preserve">(6)</w:t>
      </w:r>
      <w:r>
        <w:t xml:space="preserve">]</w:t>
      </w:r>
      <w:r xml:space="preserve">
        <w:t> </w:t>
      </w:r>
      <w:r xml:space="preserve">
        <w:t> </w:t>
      </w:r>
      <w:r>
        <w:t xml:space="preserve">privacy and searches, including the use of storage space, mail, and the telephone;</w:t>
      </w:r>
    </w:p>
    <w:p w:rsidR="003F3435" w:rsidRDefault="0032493E">
      <w:pPr>
        <w:spacing w:line="480" w:lineRule="auto"/>
        <w:ind w:firstLine="1440"/>
        <w:jc w:val="both"/>
      </w:pPr>
      <w:r>
        <w:rPr>
          <w:u w:val="single"/>
        </w:rPr>
        <w:t xml:space="preserve">(8)</w:t>
      </w:r>
      <w:r xml:space="preserve">
        <w:t> </w:t>
      </w:r>
      <w:r>
        <w:t xml:space="preserve">[</w:t>
      </w:r>
      <w:r>
        <w:rPr>
          <w:strike/>
        </w:rPr>
        <w:t xml:space="preserve">(7)</w:t>
      </w:r>
      <w:r>
        <w:t xml:space="preserve">]</w:t>
      </w:r>
      <w:r xml:space="preserve">
        <w:t> </w:t>
      </w:r>
      <w:r xml:space="preserve">
        <w:t> </w:t>
      </w:r>
      <w:r>
        <w:t xml:space="preserve">participation in school-related extracurricular or community activities;</w:t>
      </w:r>
    </w:p>
    <w:p w:rsidR="003F3435" w:rsidRDefault="0032493E">
      <w:pPr>
        <w:spacing w:line="480" w:lineRule="auto"/>
        <w:ind w:firstLine="1440"/>
        <w:jc w:val="both"/>
      </w:pPr>
      <w:r>
        <w:rPr>
          <w:u w:val="single"/>
        </w:rPr>
        <w:t xml:space="preserve">(9)</w:t>
      </w:r>
      <w:r xml:space="preserve">
        <w:t> </w:t>
      </w:r>
      <w:r>
        <w:t xml:space="preserve">[</w:t>
      </w:r>
      <w:r>
        <w:rPr>
          <w:strike/>
        </w:rPr>
        <w:t xml:space="preserve">(8)</w:t>
      </w:r>
      <w:r>
        <w:t xml:space="preserve">]</w:t>
      </w:r>
      <w:r xml:space="preserve">
        <w:t> </w:t>
      </w:r>
      <w:r xml:space="preserve">
        <w:t> </w:t>
      </w:r>
      <w:r>
        <w:t xml:space="preserve">interaction with persons outside the foster care system, including teachers, church members, mentors, and friends;</w:t>
      </w:r>
    </w:p>
    <w:p w:rsidR="003F3435" w:rsidRDefault="0032493E">
      <w:pPr>
        <w:spacing w:line="480" w:lineRule="auto"/>
        <w:ind w:firstLine="1440"/>
        <w:jc w:val="both"/>
      </w:pPr>
      <w:r>
        <w:rPr>
          <w:u w:val="single"/>
        </w:rPr>
        <w:t xml:space="preserve">(10)</w:t>
      </w:r>
      <w:r xml:space="preserve">
        <w:t> </w:t>
      </w:r>
      <w:r>
        <w:t xml:space="preserve">[</w:t>
      </w:r>
      <w:r>
        <w:rPr>
          <w:strike/>
        </w:rPr>
        <w:t xml:space="preserve">(9)</w:t>
      </w:r>
      <w:r>
        <w:t xml:space="preserve">]</w:t>
      </w:r>
      <w:r xml:space="preserve">
        <w:t> </w:t>
      </w:r>
      <w:r xml:space="preserve">
        <w:t> </w:t>
      </w:r>
      <w:r>
        <w:t xml:space="preserve">contact and communication with caseworkers, attorneys ad litem, guardians ad litem, and court-appointed special advocates;</w:t>
      </w:r>
    </w:p>
    <w:p w:rsidR="003F3435" w:rsidRDefault="0032493E">
      <w:pPr>
        <w:spacing w:line="480" w:lineRule="auto"/>
        <w:ind w:firstLine="1440"/>
        <w:jc w:val="both"/>
      </w:pPr>
      <w:r>
        <w:rPr>
          <w:u w:val="single"/>
        </w:rPr>
        <w:t xml:space="preserve">(11)</w:t>
      </w:r>
      <w:r xml:space="preserve">
        <w:t> </w:t>
      </w:r>
      <w:r>
        <w:t xml:space="preserve">[</w:t>
      </w:r>
      <w:r>
        <w:rPr>
          <w:strike/>
        </w:rPr>
        <w:t xml:space="preserve">(10)</w:t>
      </w:r>
      <w:r>
        <w:t xml:space="preserve">]</w:t>
      </w:r>
      <w:r xml:space="preserve">
        <w:t> </w:t>
      </w:r>
      <w:r xml:space="preserve">
        <w:t> </w:t>
      </w:r>
      <w:r>
        <w:t xml:space="preserve">religious services and activities;</w:t>
      </w:r>
    </w:p>
    <w:p w:rsidR="003F3435" w:rsidRDefault="0032493E">
      <w:pPr>
        <w:spacing w:line="480" w:lineRule="auto"/>
        <w:ind w:firstLine="1440"/>
        <w:jc w:val="both"/>
      </w:pPr>
      <w:r>
        <w:rPr>
          <w:u w:val="single"/>
        </w:rPr>
        <w:t xml:space="preserve">(12)</w:t>
      </w:r>
      <w:r xml:space="preserve">
        <w:t> </w:t>
      </w:r>
      <w:r>
        <w:t xml:space="preserve">[</w:t>
      </w:r>
      <w:r>
        <w:rPr>
          <w:strike/>
        </w:rPr>
        <w:t xml:space="preserve">(11)</w:t>
      </w:r>
      <w:r>
        <w:t xml:space="preserve">]</w:t>
      </w:r>
      <w:r xml:space="preserve">
        <w:t> </w:t>
      </w:r>
      <w:r xml:space="preserve">
        <w:t> </w:t>
      </w:r>
      <w:r>
        <w:t xml:space="preserve">confidentiality of the child's records;</w:t>
      </w:r>
    </w:p>
    <w:p w:rsidR="003F3435" w:rsidRDefault="0032493E">
      <w:pPr>
        <w:spacing w:line="480" w:lineRule="auto"/>
        <w:ind w:firstLine="1440"/>
        <w:jc w:val="both"/>
      </w:pPr>
      <w:r>
        <w:rPr>
          <w:u w:val="single"/>
        </w:rPr>
        <w:t xml:space="preserve">(13)</w:t>
      </w:r>
      <w:r xml:space="preserve">
        <w:t> </w:t>
      </w:r>
      <w:r>
        <w:t xml:space="preserve">[</w:t>
      </w:r>
      <w:r>
        <w:rPr>
          <w:strike/>
        </w:rPr>
        <w:t xml:space="preserve">(12)</w:t>
      </w:r>
      <w:r>
        <w:t xml:space="preserve">]</w:t>
      </w:r>
      <w:r xml:space="preserve">
        <w:t> </w:t>
      </w:r>
      <w:r xml:space="preserve">
        <w:t> </w:t>
      </w:r>
      <w:r>
        <w:t xml:space="preserve">job skills, personal finances, and preparation for adulthood;</w:t>
      </w:r>
    </w:p>
    <w:p w:rsidR="003F3435" w:rsidRDefault="0032493E">
      <w:pPr>
        <w:spacing w:line="480" w:lineRule="auto"/>
        <w:ind w:firstLine="1440"/>
        <w:jc w:val="both"/>
      </w:pPr>
      <w:r>
        <w:rPr>
          <w:u w:val="single"/>
        </w:rPr>
        <w:t xml:space="preserve">(14)</w:t>
      </w:r>
      <w:r xml:space="preserve">
        <w:t> </w:t>
      </w:r>
      <w:r>
        <w:t xml:space="preserve">[</w:t>
      </w:r>
      <w:r>
        <w:rPr>
          <w:strike/>
        </w:rPr>
        <w:t xml:space="preserve">(13)</w:t>
      </w:r>
      <w:r>
        <w:t xml:space="preserve">]</w:t>
      </w:r>
      <w:r xml:space="preserve">
        <w:t> </w:t>
      </w:r>
      <w:r xml:space="preserve">
        <w:t> </w:t>
      </w:r>
      <w:r>
        <w:t xml:space="preserve">participation in a court hearing that involves the child;</w:t>
      </w:r>
    </w:p>
    <w:p w:rsidR="003F3435" w:rsidRDefault="0032493E">
      <w:pPr>
        <w:spacing w:line="480" w:lineRule="auto"/>
        <w:ind w:firstLine="1440"/>
        <w:jc w:val="both"/>
      </w:pPr>
      <w:r>
        <w:rPr>
          <w:u w:val="single"/>
        </w:rPr>
        <w:t xml:space="preserve">(15)</w:t>
      </w:r>
      <w:r xml:space="preserve">
        <w:t> </w:t>
      </w:r>
      <w:r>
        <w:t xml:space="preserve">[</w:t>
      </w:r>
      <w:r>
        <w:rPr>
          <w:strike/>
        </w:rPr>
        <w:t xml:space="preserve">(14)</w:t>
      </w:r>
      <w:r>
        <w:t xml:space="preserve">]</w:t>
      </w:r>
      <w:r xml:space="preserve">
        <w:t> </w:t>
      </w:r>
      <w:r xml:space="preserve">
        <w:t> </w:t>
      </w:r>
      <w:r>
        <w:t xml:space="preserve">participation in the development of service and treatment plans;</w:t>
      </w:r>
    </w:p>
    <w:p w:rsidR="003F3435" w:rsidRDefault="0032493E">
      <w:pPr>
        <w:spacing w:line="480" w:lineRule="auto"/>
        <w:ind w:firstLine="1440"/>
        <w:jc w:val="both"/>
      </w:pPr>
      <w:r>
        <w:rPr>
          <w:u w:val="single"/>
        </w:rPr>
        <w:t xml:space="preserve">(16)</w:t>
      </w:r>
      <w:r xml:space="preserve">
        <w:t> </w:t>
      </w:r>
      <w:r>
        <w:t xml:space="preserve">[</w:t>
      </w:r>
      <w:r>
        <w:rPr>
          <w:strike/>
        </w:rPr>
        <w:t xml:space="preserve">(15)</w:t>
      </w:r>
      <w:r>
        <w:t xml:space="preserve">]</w:t>
      </w:r>
      <w:r xml:space="preserve">
        <w:t> </w:t>
      </w:r>
      <w:r xml:space="preserve">
        <w:t> </w:t>
      </w:r>
      <w:r>
        <w:t xml:space="preserve">if the child has a disability, the advocacy and protection of the rights of a person with that disability; and</w:t>
      </w:r>
    </w:p>
    <w:p w:rsidR="003F3435" w:rsidRDefault="0032493E">
      <w:pPr>
        <w:spacing w:line="480" w:lineRule="auto"/>
        <w:ind w:firstLine="1440"/>
        <w:jc w:val="both"/>
      </w:pPr>
      <w:r>
        <w:rPr>
          <w:u w:val="single"/>
        </w:rPr>
        <w:t xml:space="preserve">(17)</w:t>
      </w:r>
      <w:r xml:space="preserve">
        <w:t> </w:t>
      </w:r>
      <w:r>
        <w:t xml:space="preserve">[</w:t>
      </w:r>
      <w:r>
        <w:rPr>
          <w:strike/>
        </w:rPr>
        <w:t xml:space="preserve">(16)</w:t>
      </w:r>
      <w:r>
        <w:t xml:space="preserve">]</w:t>
      </w:r>
      <w:r xml:space="preserve">
        <w:t> </w:t>
      </w:r>
      <w:r xml:space="preserve">
        <w:t> </w:t>
      </w:r>
      <w:r>
        <w:t xml:space="preserve">any other matter affecting the child's ability to receive care and treatment in the least restrictive environment that is most like a family setting, consistent with the best interests and needs of the child.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264, Family Code, is amended by adding Section 264.1078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264.1078.</w:t>
      </w:r>
      <w:r>
        <w:rPr>
          <w:u w:val="single"/>
        </w:rPr>
        <w:t xml:space="preserve"> </w:t>
      </w:r>
      <w:r>
        <w:rPr>
          <w:u w:val="single"/>
        </w:rPr>
        <w:t xml:space="preserve"> </w:t>
      </w:r>
      <w:r>
        <w:rPr>
          <w:u w:val="single"/>
        </w:rPr>
        <w:t xml:space="preserve">LUGGAGE FOR FOSTER CHILDREN.  (a) In this section, "luggage" means a suitcase, duffel bag, backpack, or similar container designed to hold an individual's personal belongings.</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and maintain a decentralized supply of luggage to be used to transport a foster child's personal belongings;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procedures for the storage and distribution of luggage.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provide luggage to a child who is being removed from the child's home or changing placement.  Luggage provided to a child under this subsection belongs to the child and may not be reclaimed by the department or retained by the child's foster parent. The department is not required to provide new luggage under this subsection to a child who is changing placement and has the luggage previously provided by the department.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maintain a record of each time a trash bag is used to move a foster child's personal belongings. The record must include the reason the department did not provide the child with appropriate luggage to move the child's personal belongings.</w:t>
      </w:r>
      <w:r>
        <w:t xml:space="preserve"> </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department shall submit an annual report to the legislature that includes a summary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times a trash bag was used to transport a foster child's personal belongings and the reasons the department failed to provide the child with appropriate luggage;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department's supply inventory and inventory management practices for the luggage supply maintained under Subsection (b).</w:t>
      </w:r>
    </w:p>
    <w:p w:rsidR="003F3435" w:rsidRDefault="0032493E">
      <w:pPr>
        <w:spacing w:line="480" w:lineRule="auto"/>
        <w:ind w:firstLine="720"/>
        <w:jc w:val="both"/>
      </w:pPr>
      <w:r>
        <w:rPr>
          <w:u w:val="single"/>
        </w:rPr>
        <w:t xml:space="preserve">(e-1</w:t>
      </w:r>
      <w:r>
        <w:rPr>
          <w:u w:val="single"/>
        </w:rPr>
        <w:t xml:space="preserve">)</w:t>
      </w:r>
      <w:r>
        <w:rPr>
          <w:u w:val="single"/>
        </w:rPr>
        <w:t xml:space="preserve"> </w:t>
      </w:r>
      <w:r>
        <w:rPr>
          <w:u w:val="single"/>
        </w:rPr>
        <w:t xml:space="preserve"> </w:t>
      </w:r>
      <w:r>
        <w:rPr>
          <w:u w:val="single"/>
        </w:rPr>
        <w:t xml:space="preserve">This subsection and Subsection (e) expire September 1, 2025.</w:t>
      </w:r>
      <w:r>
        <w:t xml:space="preserve"> </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department may solicit and accept gifts, grants, and donations of any kind and from any source for purposes of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3765 was passed by the House on May 9, 2023, by the following vote:</w:t>
      </w:r>
      <w:r xml:space="preserve">
        <w:t> </w:t>
      </w:r>
      <w:r xml:space="preserve">
        <w:t> </w:t>
      </w:r>
      <w:r>
        <w:t xml:space="preserve">Yeas 130, Nays 15, 2 present, not voting; and that the House concurred in Senate amendments to H.B. No. 3765 on May 19, 2023, by the following vote:</w:t>
      </w:r>
      <w:r xml:space="preserve">
        <w:t> </w:t>
      </w:r>
      <w:r xml:space="preserve">
        <w:t> </w:t>
      </w:r>
      <w:r>
        <w:t xml:space="preserve">Yeas 120, Nays 21,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3765 was passed by the Senate, with amendments, on May 17, 2023, by the following vote:</w:t>
      </w:r>
      <w:r xml:space="preserve">
        <w:t> </w:t>
      </w:r>
      <w:r xml:space="preserve">
        <w:t> </w:t>
      </w:r>
      <w:r>
        <w:t xml:space="preserve">Yeas 27, Nays 4.</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3765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