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3765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Finance; May</w:t>
      </w:r>
      <w:r xml:space="preserve">
        <w:t> </w:t>
      </w:r>
      <w:r>
        <w:t xml:space="preserve">15,</w:t>
      </w:r>
      <w:r xml:space="preserve">
        <w:t> </w:t>
      </w:r>
      <w:r>
        <w:t xml:space="preserve">2023, reported favorably by the following vote:</w:t>
      </w:r>
      <w:r>
        <w:t xml:space="preserve"> </w:t>
      </w:r>
      <w:r>
        <w:t xml:space="preserve"> </w:t>
      </w:r>
      <w:r>
        <w:t xml:space="preserve">Yeas 15, Nays 2;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supply of luggage by the Department of Family and Protective Services for the transport of the personal belongings of a foster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263.008(b), Family Code, is amended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that each child in foster care be informed of the child's rights provided by state or federal law or policy that relate to:</w:t>
      </w:r>
    </w:p>
    <w:p w:rsidR="003F3435" w:rsidRDefault="0032493E">
      <w:pPr>
        <w:spacing w:line="480" w:lineRule="auto"/>
        <w:ind w:firstLine="1440"/>
        <w:jc w:val="both"/>
      </w:pPr>
      <w:r>
        <w:t xml:space="preserve">(1)</w:t>
      </w:r>
      <w:r xml:space="preserve">
        <w:t> </w:t>
      </w:r>
      <w:r xml:space="preserve">
        <w:t> </w:t>
      </w:r>
      <w:r>
        <w:t xml:space="preserve">abuse, neglect, exploitation, discrimination, and harassment;</w:t>
      </w:r>
    </w:p>
    <w:p w:rsidR="003F3435" w:rsidRDefault="0032493E">
      <w:pPr>
        <w:spacing w:line="480" w:lineRule="auto"/>
        <w:ind w:firstLine="1440"/>
        <w:jc w:val="both"/>
      </w:pPr>
      <w:r>
        <w:t xml:space="preserve">(2)</w:t>
      </w:r>
      <w:r xml:space="preserve">
        <w:t> </w:t>
      </w:r>
      <w:r xml:space="preserve">
        <w:t> </w:t>
      </w:r>
      <w:r>
        <w:t xml:space="preserve">food, clothing, shelter, and education;</w:t>
      </w:r>
    </w:p>
    <w:p w:rsidR="003F3435" w:rsidRDefault="0032493E">
      <w:pPr>
        <w:spacing w:line="480" w:lineRule="auto"/>
        <w:ind w:firstLine="1440"/>
        <w:jc w:val="both"/>
      </w:pPr>
      <w:r>
        <w:t xml:space="preserve">(3)</w:t>
      </w:r>
      <w:r xml:space="preserve">
        <w:t> </w:t>
      </w:r>
      <w:r xml:space="preserve">
        <w:t> </w:t>
      </w:r>
      <w:r>
        <w:rPr>
          <w:u w:val="single"/>
        </w:rPr>
        <w:t xml:space="preserve">luggage to transport the child's personal belongings;</w:t>
      </w:r>
    </w:p>
    <w:p w:rsidR="003F3435" w:rsidRDefault="0032493E">
      <w:pPr>
        <w:spacing w:line="480" w:lineRule="auto"/>
        <w:ind w:firstLine="1440"/>
        <w:jc w:val="both"/>
      </w:pPr>
      <w:r>
        <w:rPr>
          <w:u w:val="single"/>
        </w:rPr>
        <w:t xml:space="preserve">(4)</w:t>
      </w:r>
      <w:r xml:space="preserve">
        <w:t> </w:t>
      </w:r>
      <w:r xml:space="preserve">
        <w:t> </w:t>
      </w:r>
      <w:r>
        <w:t xml:space="preserve">medical, dental, vision, and mental health services, including the right of the child to consent to treatment;</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emergency behavioral intervention, including what methods are permitted, the conditions under which it may be used, and the precautions that must be taken when administering 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placement with the child's siblings and contact with members of the child's family;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privacy and searches, including the use of storage space, mail, and the telephone;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participation in school-related extracurricular or community activities;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interaction with persons outside the foster care system, including teachers, church members, mentors, and friends;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contact and communication with caseworkers, attorneys ad litem, guardians ad litem, and court-appointed special advocates;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religious services and activities;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confidentiality of the child's records;</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job skills, personal finances, and preparation for adulthood;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participation in a court hearing that involves the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participation in the development of service and treatment plans;</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if the child has a disability, the advocacy and protection of the rights of a person with that disability; and</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any other matter affecting the child's ability to receive care and treatment in the least restrictive environment that is most like a family setting, consistent with the best interests and needs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264, Family Code, is amended by adding Section 264.1078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264.1078.</w:t>
      </w:r>
      <w:r>
        <w:rPr>
          <w:u w:val="single"/>
        </w:rPr>
        <w:t xml:space="preserve"> </w:t>
      </w:r>
      <w:r>
        <w:rPr>
          <w:u w:val="single"/>
        </w:rPr>
        <w:t xml:space="preserve"> </w:t>
      </w:r>
      <w:r>
        <w:rPr>
          <w:u w:val="single"/>
        </w:rPr>
        <w:t xml:space="preserve">LUGGAGE FOR FOSTER CHILDREN.  (a) In this section, "luggage" means a suitcase, duffel bag, backpack, or similar container designed to hold an individual's personal belongings.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 decentralized supply of luggage to be used to transport a foster child's personal belongings;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procedures for the storage and distribution of luggage.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luggage to a child who is being removed from the child's home or changing placement.  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 record of each time a trash bag is used to move a foster child's personal belongings. The record must include the reason the department did not provide the child with appropriate luggage to move the child's personal belongings.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submit an annual report to the legislature that includes a summary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times a trash bag was used to transport a foster child's personal belongings and the reasons the department failed to provide the child with appropriate luggage;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supply inventory and inventory management practices for the luggage supply maintained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