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88R14056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3767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diagnostic examinations for lung cancer.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CERTAIN TESTS FOR DETECTION OF LUNG CANCER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w:t>
      </w:r>
      <w:r>
        <w:rPr>
          <w:u w:val="single"/>
        </w:rPr>
        <w:t xml:space="preserve"> </w:t>
      </w:r>
      <w:r>
        <w:rPr>
          <w:u w:val="single"/>
        </w:rP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an individual or group evidence of coverage, or a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reciprocal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 small employer health benefit plan written under Chapter 1501.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EXCEPTIONS.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for benefits for a specified disease or for another limited benefit, other than a plan that provides benefits for cancer treatment or similar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accidental death or dismemberment;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dental or vision care;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indemnity for hospital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Medicare supplemental policy as defined by Section 1882(g)(1), Social Security Act (42 U.S.C. Section 1395ss);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medical payment insurance coverage provided under an automobile insurance policy;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credit insurance policy;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limited benefit policy that does not provide coverage for physical examinations or wellness exams;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long-term care insurance policy, including a nursing home fixed indemnity policy, unless the commissioner determines that the policy provides benefit coverage so comprehensive that the policy is a health benefit plan as described by Section 1370.001.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COVERAGE REQUIRED.  (a)  A health benefit plan that provides coverage for diagnostic medical procedures must provide coverage for an annual medically recognized examination for the early detection of lung cancer to each person enrolled in the plan who is at least 50 years of age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current or former smoker;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personal or family history of lung cancer;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genetic risk factor associated with lung cancer;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been exposed to environmental or occupational carcinogens;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been exposed to therapeutic radiation.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diagnostic examination required under this section must be performed in accordance with the guidelines adopted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American Lung Association;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similar national organization of medical professionals recognized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1372.004.</w:t>
      </w:r>
      <w:r>
        <w:rPr>
          <w:u w:val="single"/>
        </w:rPr>
        <w:t xml:space="preserve"> </w:t>
      </w:r>
      <w:r>
        <w:rPr>
          <w:u w:val="single"/>
        </w:rPr>
        <w:t xml:space="preserve"> </w:t>
      </w:r>
      <w:r>
        <w:rPr>
          <w:u w:val="single"/>
        </w:rPr>
        <w:t xml:space="preserve">NOTICE OF COVERAGE.  (a)  A health benefit plan issuer shall provide to each person enrolled in the plan written notice of the coverage required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be provided in accordance with rules adopted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