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Johnson of Dallas, Button, Buckley, Rose,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3771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Morrison, et al.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employer child-care contribution partnership program administered by the Texas Workforce Commission; authorizing a civil penalty.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B, Title 4, Labor Code, is amended by adding Chapter 319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319. </w:t>
      </w:r>
      <w:r>
        <w:rPr>
          <w:u w:val="single"/>
        </w:rPr>
        <w:t xml:space="preserve"> </w:t>
      </w:r>
      <w:r>
        <w:rPr>
          <w:u w:val="single"/>
        </w:rPr>
        <w:t xml:space="preserve">EMPLOYER CHILD-CARE CONTRIBUTION PARTNERSHIP PROGRAM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chapter, "program" means the employer child-care contribution partnership program established under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ESTABLISHMENT.  The commission shall establish and administer the employer child-care contribution partnership program to support families in this state in accessing high-quality child care by incentivizing eligible employers to contribute to eligible employee child-care costs and providing a state match for funds contributed by eligible employers.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ADMINISTRATION.  (a)  The commission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adopt rules and establish procedures necessary to administer the program, including: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standardized agreement for use by employers, employees, and child-care providers to apply for and enroll in the program;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and income verification procedures for employees;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eligibility criteria for child-care providers, including quality standards;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notifying each party to the agreement of: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results of an eligibility determination;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party's enrollment in the program as soon as practicable after receiving and processing the agreement and determining each party's eligibility;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determining the amount of the state match in accordance with Section 319.009(b) and notifying the employee and the child-care provider regarding the amount;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prioritizing and approving agreements, including maintaining a waitlist;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notifying the commission and the parties to the agreement regarding termination of the agreement by any party;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notifying the commission and the parties to the agreement regarding nonpayment by any party;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recouping state match money or a portion of state match money if there is an overpayment to a participating child-care provider;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for disqualifying participants from the program;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(K)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hearing appeals from program participants;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(L)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procedures for issuing and logging payments to a participating child-care provider;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(M)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criteria and procedures for modifying or terminating an agreement, including: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relationship between the employee and employer is severed;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an employer fails to make a contribution in accordance with the terms of the agreement; and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a child-care provider ceases participation or otherwise becomes ineligible to participate in the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ensure confidentiality protocols to safeguard the personal information of participating employers, employees, and child-care providers, including ensuring that an employee's personal information is not disclosed without the employee's written consent;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records regarding the balance of the program fund for each fiscal year and all payments made from the fund;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develop informational material regarding the program's objectives, benefits, and eligibility requirements and distribute the material to employers, employees, and child-care providers;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maintain a waitlist if the money in the program fund is insufficient to approve all agreements received and provide a state match in accordance with Section 319.009(b).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convene a work group to assist the commission in developing the rules under Subsection (a).</w:t>
      </w:r>
      <w:r>
        <w:rPr>
          <w:u w:val="single"/>
        </w:rPr>
        <w:t xml:space="preserve"> </w:t>
      </w:r>
      <w:r>
        <w:rPr>
          <w:u w:val="single"/>
        </w:rPr>
        <w:t xml:space="preserve">The work group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child-care providers;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community stakeholders;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employers;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one parent of a child who receives care from a child-care provider.</w:t>
      </w:r>
      <w:r>
        <w:t xml:space="preserve"> 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(a-2)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Subsection (a-1) and this subsection expire September 1, 2025.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delegate an administrative duty under the program to a division of the commission;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coordinate and share information with other state agencies;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procure grants or contracts, in accordance with other law, with third parties to administer the program or parts of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implement the program and issue a state match under Section 319.009(b) in a state fiscal year only if the legislature specifically appropriates money to the commission for that fiscal year for that purpose. </w:t>
      </w:r>
      <w:r>
        <w:rPr>
          <w:u w:val="single"/>
        </w:rPr>
        <w:t xml:space="preserve"> </w:t>
      </w:r>
      <w:r>
        <w:rPr>
          <w:u w:val="single"/>
        </w:rPr>
        <w:t xml:space="preserve">The commission may implement the program and issue a state match using other money available to the commission for that purpose.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EMPLOYER DUTIES. </w:t>
      </w:r>
      <w:r>
        <w:rPr>
          <w:u w:val="single"/>
        </w:rPr>
        <w:t xml:space="preserve"> </w:t>
      </w:r>
      <w:r>
        <w:rPr>
          <w:u w:val="single"/>
        </w:rPr>
        <w:t xml:space="preserve">An employer who provides child-care assistance to an employee as a benefit of employment may participate in the program by entering into an agreement described by Section 319.007 with an eligible employee and child-care provider.  The employer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 at least 20 percent of the cost of the employee's child care as the employer contribution;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into a standardized agreement under Section 319.007 with an eligible employee and child-care provider;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the agreement to the commission for verification of eligibility and approval;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submit any additional information the commission considers necessary;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 verification and approval of the agreement by the commission, make contributions to the employee's eligible child-care costs in accordance with commission guidelines.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EMPLOYEE DUTIES.  (a)  An employee shall complete an agreement described by Section 319.007 with the employee's employer and a child-care provider and provide any additional information the commission considers necessary.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employee shall pay the child-care provider the cost of child-care services not covered by the employer's contribution and the state match.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amount of an employee's employer contribution and state match provided under the employee's agreement are insufficient to pay all of the employee's child-care costs, the employee may combine those amounts with the employer contribution and state match money provided under an agreement made under the program by a member of the employee's household or family to pay the total costs, provided that combining the amounts does not result in overpayment to the provider.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PROVIDER ELIGIBILITY.  To be eligible to receive money under the program, a child-care provider must: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 a high-quality program as determined by the commission;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enter into an agreement described by Section 319.007.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AGREEMENTS.  The commission shall create a standardized agreement for use by employers, employees, and providers participating in the program, to be completed and agreed to by each party.  The agreement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name, physical location, size, and industry of the employer;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phone number of the employer's point of contact;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physical location of the child-care provider;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phone number of the child-care provider's point of contact;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name and home address of the employee;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amount of the child-care contribution to be paid by the employer to the provider, either directly or through a third-party vendor;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amount of the state match to be paid to the provider, either directly or through a third-party vendor;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duration of the agreement;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frequency of the contribution to be made directly to the child-care provider;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demographic information about the employee.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PROGRAM FUND.  (a) </w:t>
      </w:r>
      <w:r>
        <w:rPr>
          <w:u w:val="single"/>
        </w:rPr>
        <w:t xml:space="preserve"> </w:t>
      </w:r>
      <w:r>
        <w:rPr>
          <w:u w:val="single"/>
        </w:rPr>
        <w:t xml:space="preserve">The commission shall establish and administer the program fund as a dedicated account in the general revenue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following amounts shall be deposited in the fund: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money appropriated by the legislature for the fund for purposes of this chapter;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interest earned on the investment of money in the fund;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funds resulting from civil penalties collected under Section 319.011;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gifts, grants, and donations received for the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Money in the fund may be appropriated only to the Texas Workforce Commission for purposes authorized by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Any money remaining in the program fund at the end of a fiscal year is carried forward to the next fiscal year.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each fiscal year and to the greatest extent practicable, 25 percent of the total fund shall be distributed under agreements with employers with fewer than 50 full-time employees.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During the fiscal year ending August 31, 2024, not more than 10 percent of the total fund shall be distributed to the commission to establish the program. </w:t>
      </w:r>
      <w:r>
        <w:rPr>
          <w:u w:val="single"/>
        </w:rPr>
        <w:t xml:space="preserve"> </w:t>
      </w:r>
      <w:r>
        <w:rPr>
          <w:u w:val="single"/>
        </w:rPr>
        <w:t xml:space="preserve">In each subsequent fiscal year, the commission may use money in the fund to administer the program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total annual amount of the fund is more than $50 million, the commission may use not more than five percent of the total fund;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total annual amount of the fund is more than $10 million but not more than $50 million, the commission may use not more than 10 percent of the total fund;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total annual amount of the fund is not more than $10 million, the commission may use not more than 15 percent of the total fund.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319.009.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MATCH.  (a)  On verifying the eligibility of an employer, employee, and child-care provider and the agreement between the parties, the commission shall issue a state match in accordance with this section from the program fund to a child-care provider in accordance with the terms of the agreement. </w:t>
      </w:r>
      <w:r>
        <w:rPr>
          <w:u w:val="single"/>
        </w:rPr>
        <w:t xml:space="preserve"> </w:t>
      </w:r>
      <w:r>
        <w:rPr>
          <w:u w:val="single"/>
        </w:rPr>
        <w:t xml:space="preserve">The commission may distribute the state match money directly or through a third-party vendor, as applicable.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may approve an agreement and issue a state match only if there is sufficient money in the program fund to pay the costs under the agreement.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commission shall provide a state match equal to the contribution made by the employee's employer if the employee has a median household income that does not exceed the median state household income.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If the employee's median household income exceeds the median state household income, the commission shall provide a state match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90 percent of the employer's contribution for an employee whose household income is not more than 120 percent of the median household income;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80 percent of the employer's contribution for an employee whose household income is greater than 120 percent but not more than 140 percent of the median household income;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70 percent of the employer's contribution for an employee whose household income is greater than 140 percent but not more than 160 percent of the median household income;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60 percent of the employer's contribution for an employee whose household income is greater than 160 percent but not more than 180 percent of the median household income;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50 percent of the employer's contribution for an employee whose household income is more than 180 percent of the median household income.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state match issued under the program and administered by the commission may not be considered compensation for an employee's service.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319.010.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REPORTS.  (a)  The commission shall publish and submit to the legislature a report detailing the efficacy of the program not later than December 15 of each even-numbered year. </w:t>
      </w:r>
      <w:r>
        <w:rPr>
          <w:u w:val="single"/>
        </w:rPr>
        <w:t xml:space="preserve"> </w:t>
      </w:r>
      <w:r>
        <w:rPr>
          <w:u w:val="single"/>
        </w:rPr>
        <w:t xml:space="preserve">The report must include the following information about the program: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amount appropriated to the program fund during the preceding state fiscal year;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number of standardized agreements submitted by employers;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total amount of state matches paid out of the program fund, disaggregated by county;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information regarding the size, geographical location, and industry type of employers who participated in the program;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number, license type, quality rating level, and geographical distribution of participating child-care providers;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average cost for services charged by child-care providers participating in the program and information regarding the amount by which those costs have increased or decreased during the most recent reporting period compared with previous reporting periods;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and total dollar value of agreements not approved by the commission;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demographic information regarding employees participating in the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January 1, 2025, the commission shall publish and submit to the legislature a report detailing the commission's plan for implementing the program. </w:t>
      </w:r>
      <w:r>
        <w:rPr>
          <w:u w:val="single"/>
        </w:rPr>
        <w:t xml:space="preserve"> </w:t>
      </w:r>
      <w:r>
        <w:rPr>
          <w:u w:val="single"/>
        </w:rPr>
        <w:t xml:space="preserve">This subsection expires September 1, 2025.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319.011.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FALSE INFORMATION; CIVIL PENALTY.  A person who intentionally provides false information to the commission for purposes of receiving the benefits of the program shall be subject to a civil penalty of not more than $500 per violation. </w:t>
      </w:r>
      <w:r>
        <w:rPr>
          <w:u w:val="single"/>
        </w:rPr>
        <w:t xml:space="preserve"> </w:t>
      </w:r>
      <w:r>
        <w:rPr>
          <w:u w:val="single"/>
        </w:rPr>
        <w:t xml:space="preserve">All money collected as a result of penalties assessed under this section shall be paid into the state treasury and credited to the employee child-care assistance program fund.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January 1, 2025, the Texas Workforce Commission shall adopt any rules necessary to administer the employer child-care contribution partnership program established under Chapter 319, Labor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3771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