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88R6773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3771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employer child-care contribution partnership program administered by the Texas Workforce Commission;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Labor Code, is amended by adding Chapter 319 to read as follows:</w:t>
      </w:r>
    </w:p>
    <w:p w:rsidR="003F3435" w:rsidRDefault="0032493E">
      <w:pPr>
        <w:spacing w:line="480" w:lineRule="auto"/>
        <w:jc w:val="center"/>
      </w:pPr>
      <w:r>
        <w:rPr>
          <w:u w:val="single"/>
        </w:rPr>
        <w:t xml:space="preserve">CHAPTER 319. </w:t>
      </w:r>
      <w:r>
        <w:rPr>
          <w:u w:val="single"/>
        </w:rPr>
        <w:t xml:space="preserve"> </w:t>
      </w:r>
      <w:r>
        <w:rPr>
          <w:u w:val="single"/>
        </w:rPr>
        <w:t xml:space="preserve">EMPLOYER CHILD-CARE CONTRIBUTION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319.001.</w:t>
      </w:r>
      <w:r>
        <w:rPr>
          <w:u w:val="single"/>
        </w:rPr>
        <w:t xml:space="preserve"> </w:t>
      </w:r>
      <w:r>
        <w:rPr>
          <w:u w:val="single"/>
        </w:rPr>
        <w:t xml:space="preserve"> </w:t>
      </w:r>
      <w:r>
        <w:rPr>
          <w:u w:val="single"/>
        </w:rPr>
        <w:t xml:space="preserve">DEFINITION.  In this subchapter, "program" means the employer child-care contribution partnership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319.002.</w:t>
      </w:r>
      <w:r>
        <w:rPr>
          <w:u w:val="single"/>
        </w:rPr>
        <w:t xml:space="preserve"> </w:t>
      </w:r>
      <w:r>
        <w:rPr>
          <w:u w:val="single"/>
        </w:rPr>
        <w:t xml:space="preserve"> </w:t>
      </w:r>
      <w:r>
        <w:rPr>
          <w:u w:val="single"/>
        </w:rPr>
        <w:t xml:space="preserve">ESTABLISHMENT.  The commission shall establish and administer the employer child-care contribution partnership program to support families in this state in accessing high-quality child care by incentivizing eligible employers to contribute to eligible employee child-care costs and providing a state match for funds contributed by eligible employers.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319.003.</w:t>
      </w:r>
      <w:r>
        <w:rPr>
          <w:u w:val="single"/>
        </w:rPr>
        <w:t xml:space="preserve"> </w:t>
      </w:r>
      <w:r>
        <w:rPr>
          <w:u w:val="single"/>
        </w:rPr>
        <w:t xml:space="preserve"> </w:t>
      </w:r>
      <w:r>
        <w:rPr>
          <w:u w:val="single"/>
        </w:rPr>
        <w:t xml:space="preserve">ADMINISTRATION.  (a)  In administering the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standardized agreement described by Section 319.007 and process agreements to ensure that the employer, employee, and child-care provider each enter into the agreement before enrolling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eligibility verification procedures for employers, employees, and child-care providers as a prerequisite for the commission to issue a state match under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and verify household income information from eligible employees and determine the amount of the state match for which the employee is eligible in accordance with Section 319.009;</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procedures for notifying each party to the agreement of the party's enrollment in the program as soon as practicable after receiving and processing the contract and determining each party's eligibility;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confidentiality protocols for the commission to safeguard the personal information of participating employees, employers, and child-care providers;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requirements for an employer or a child-care provider to report the nonpayment of a contribution toward eligible child-care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 procedures for issuing and logging a state match paid to a participating child-care provider;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maintain records regarding the balance of the program fund for each fiscal year and all payments made from the fund;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establish criteria for disqualifying participants from the program;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establish procedures for hearing appeals from program participants;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establish procedures for recouping state match money or a portion of state match money if there is an overpayment to a participating child-care provider;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secure third-party vendors to assist in administering the program in accordance with federal and state law;</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develop informational material regarding the program's objectives, benefits, and eligibility requirements and distribute the material to employers, employees, and child-care providers;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maintain a waitlist if the money in the program fund is insufficient to approve all agreements received and provide a state match in accordance with Section 319.009(b).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 an administrative duty under the program to a division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and share information with other state agencies;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 with third parties to administer the program or parts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disclose an employee's personal information without the employee's written consent.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319.004.</w:t>
      </w:r>
      <w:r>
        <w:rPr>
          <w:u w:val="single"/>
        </w:rPr>
        <w:t xml:space="preserve"> </w:t>
      </w:r>
      <w:r>
        <w:rPr>
          <w:u w:val="single"/>
        </w:rPr>
        <w:t xml:space="preserve"> </w:t>
      </w:r>
      <w:r>
        <w:rPr>
          <w:u w:val="single"/>
        </w:rPr>
        <w:t xml:space="preserve">EMPLOYER DUTIES.  (a)  An employer who provides child-care assistance to an employee as a benefit of employment may participate in the program by entering into an agreement described by Section 319.007 with an eligible employee and child-care provider.  The employer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standardized agreement under Section 319.007 with an eligible employee and child-care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agreement to the commission for verification of eligibility and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any additional information the commission considers necessary;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verification and approval of the agreement by the commission, make contributions to the employee's eligible child-care costs in accordance with the agreement directly to the child-care provider or through a third-party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require employers seeking economic development incentives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319.005.</w:t>
      </w:r>
      <w:r>
        <w:rPr>
          <w:u w:val="single"/>
        </w:rPr>
        <w:t xml:space="preserve"> </w:t>
      </w:r>
      <w:r>
        <w:rPr>
          <w:u w:val="single"/>
        </w:rPr>
        <w:t xml:space="preserve"> </w:t>
      </w:r>
      <w:r>
        <w:rPr>
          <w:u w:val="single"/>
        </w:rPr>
        <w:t xml:space="preserve">EMPLOYEE DUTIES.  (a)  An employee shall complete an agreement described by Section 319.007 with the employee's employer and a child-care provider and provide any additional information the commission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employee shall pay the child-care provider the cost of child-care services not covered by the employer's contribution and the state match.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of an employee's employer contribution and state match provided under the employee's agreement are insufficient to pay all of the employee's child-care costs, the employee may combine those amounts with the employer contribution and state match money provided under an agreement made under the program by a member of the employee's household or family to pay the total costs, provided that combining the amounts does not result in overpayment to the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319.006.</w:t>
      </w:r>
      <w:r>
        <w:rPr>
          <w:u w:val="single"/>
        </w:rPr>
        <w:t xml:space="preserve"> </w:t>
      </w:r>
      <w:r>
        <w:rPr>
          <w:u w:val="single"/>
        </w:rPr>
        <w:t xml:space="preserve"> </w:t>
      </w:r>
      <w:r>
        <w:rPr>
          <w:u w:val="single"/>
        </w:rPr>
        <w:t xml:space="preserve">PROVIDER ELIGIBILITY.  To be eligible to receive money under the program, a child-care provider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the Texas Rising Star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 agreement described by Section 319.007.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319.007.</w:t>
      </w:r>
      <w:r>
        <w:rPr>
          <w:u w:val="single"/>
        </w:rPr>
        <w:t xml:space="preserve"> </w:t>
      </w:r>
      <w:r>
        <w:rPr>
          <w:u w:val="single"/>
        </w:rPr>
        <w:t xml:space="preserve"> </w:t>
      </w:r>
      <w:r>
        <w:rPr>
          <w:u w:val="single"/>
        </w:rPr>
        <w:t xml:space="preserve">PROGRAM AGREEMENTS.  The commission shall create a standardized agreement for use by employers, employees, and providers participating in the program, to be completed and agreed to by each party.  The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physical location, size, and industry of the employer;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phone number of the employer's point of contact;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and physical location of the child-care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name and phone number of the child-care provider's point of contact;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and home address of the employee;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total amount of the child-care contribution to be paid by the employer to the provider, either directly or through a third-party vendor;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amount of the state match to be paid to the provider, either directly or through a third-party vendor;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duration of the contract, which may not extend beyond the end of the fiscal year in any given year;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frequency of the contribution to be made directly to the child-care provider in accordance with the provider's established billing cycle;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demographic information about the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319.008.</w:t>
      </w:r>
      <w:r>
        <w:rPr>
          <w:u w:val="single"/>
        </w:rPr>
        <w:t xml:space="preserve"> </w:t>
      </w:r>
      <w:r>
        <w:rPr>
          <w:u w:val="single"/>
        </w:rPr>
        <w:t xml:space="preserve"> </w:t>
      </w:r>
      <w:r>
        <w:rPr>
          <w:u w:val="single"/>
        </w:rPr>
        <w:t xml:space="preserve">PROGRAM FUND.  (a) </w:t>
      </w:r>
      <w:r>
        <w:rPr>
          <w:u w:val="single"/>
        </w:rPr>
        <w:t xml:space="preserve"> </w:t>
      </w:r>
      <w:r>
        <w:rPr>
          <w:u w:val="single"/>
        </w:rPr>
        <w:t xml:space="preserve">The commission shall establish and administer the program fund as a dedicated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amounts shall be deposited in the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money appropriated by the legislature for the fund for purposes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earned on the investment of money in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funds resulting from civil penalties collected under Section 319.012;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for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Texas Workforce Commission for purposes authorized by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money remaining in the program fund at the end of a fiscal year is carried forward to the next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each fiscal year, 25 percent of the total fund shall be distributed under agreements with employers with fewer than 50 full-time employees.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During the fiscal year ending September 1, 2024, five percent of the total fund shall be distributed to the commission to administer the program. </w:t>
      </w:r>
      <w:r>
        <w:rPr>
          <w:u w:val="single"/>
        </w:rPr>
        <w:t xml:space="preserve"> </w:t>
      </w:r>
      <w:r>
        <w:rPr>
          <w:u w:val="single"/>
        </w:rPr>
        <w:t xml:space="preserve">In each subsequent fiscal year, three percent of the total fund shall be distributed to the commission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319.009.</w:t>
      </w:r>
      <w:r>
        <w:rPr>
          <w:u w:val="single"/>
        </w:rPr>
        <w:t xml:space="preserve"> </w:t>
      </w:r>
      <w:r>
        <w:rPr>
          <w:u w:val="single"/>
        </w:rPr>
        <w:t xml:space="preserve"> </w:t>
      </w:r>
      <w:r>
        <w:rPr>
          <w:u w:val="single"/>
        </w:rPr>
        <w:t xml:space="preserve">STATE MATCH.  (a)  On verifying the eligibility of an employer, employee, and child-care provider and the agreement between the parties, the commission shall issue a state match in accordance with this section from the program fund to a child-care provider in accordance with the terms of the agreement. </w:t>
      </w:r>
      <w:r>
        <w:rPr>
          <w:u w:val="single"/>
        </w:rPr>
        <w:t xml:space="preserve"> </w:t>
      </w:r>
      <w:r>
        <w:rPr>
          <w:u w:val="single"/>
        </w:rPr>
        <w:t xml:space="preserve">The commission may distribute the state match money directly or through a third-party vendor,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consider agreements in the order received and may approve an agreement and issue a state match only if there is sufficient money in the program fund to pay the costs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provide a state match equal to the contribution made by the employee's employer if the employee has a median household income that does not exceed the median state household income.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employee's median household income exceeds the median state household income, the commission shall provide a state match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90 percent of the employer's contribution for an employee whose household income is not more than 120 percent of the median household income;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80 percent of the employer's contribution for an employee whose household income is greater than 120 percent but not more than 140 percent of the median household income;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70 percent of the employer's contribution for an employee whose household income is greater than 140 percent but not more than 160 percent of the median household income;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60 percent of the employer's contribution for an employee whose household income is greater than 160 percent but not more than 180 percent of the median household income;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50 percent of the employer's contribution for an employee whose household income is more than 180 percent of the median household income.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 match issued under the program and administered by the commission may not be considered compensation for an employee's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319.010.</w:t>
      </w:r>
      <w:r>
        <w:rPr>
          <w:u w:val="single"/>
        </w:rPr>
        <w:t xml:space="preserve"> </w:t>
      </w:r>
      <w:r>
        <w:rPr>
          <w:u w:val="single"/>
        </w:rPr>
        <w:t xml:space="preserve"> </w:t>
      </w:r>
      <w:r>
        <w:rPr>
          <w:u w:val="single"/>
        </w:rPr>
        <w:t xml:space="preserve">MODIFICATION AND TERMINATION OF AGREEMENTS.  (a) </w:t>
      </w:r>
      <w:r>
        <w:rPr>
          <w:u w:val="single"/>
        </w:rPr>
        <w:t xml:space="preserve"> </w:t>
      </w:r>
      <w:r>
        <w:rPr>
          <w:u w:val="single"/>
        </w:rPr>
        <w:t xml:space="preserve">An employer or employee may terminate an agreement under the program at any time and for any reason. </w:t>
      </w:r>
      <w:r>
        <w:rPr>
          <w:u w:val="single"/>
        </w:rPr>
        <w:t xml:space="preserve"> </w:t>
      </w:r>
      <w:r>
        <w:rPr>
          <w:u w:val="single"/>
        </w:rPr>
        <w:t xml:space="preserve">The terminating party shall notify all the parties to the agreement and specify the desired termination date. </w:t>
      </w:r>
      <w:r>
        <w:rPr>
          <w:u w:val="single"/>
        </w:rPr>
        <w:t xml:space="preserve"> </w:t>
      </w:r>
      <w:r>
        <w:rPr>
          <w:u w:val="single"/>
        </w:rPr>
        <w:t xml:space="preserve">All parties to the agreement shall be financially obligated, according to the provisions of the contract, up to the termination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relationship between the employee and employer is severed, the employer shall notify the child-care provider and the commission not later than the third business day after the date of the separation and the contract is terminated on the calendar date provided by the employer in the notification. </w:t>
      </w:r>
      <w:r>
        <w:rPr>
          <w:u w:val="single"/>
        </w:rPr>
        <w:t xml:space="preserve"> </w:t>
      </w:r>
      <w:r>
        <w:rPr>
          <w:u w:val="single"/>
        </w:rPr>
        <w:t xml:space="preserve">If an employer fails to provide notice regarding the separation and the commission issues a state match to the provider on behalf of that employer's employee, the employer shall reimburse the commission for the amount of the state match.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employer fails to make a contribution for the employee's eligible child-care costs in accordance with the terms of the agreement, the child-care provider shall notify the commission not later than the fifth business day after the date the provider does not receive a payment. </w:t>
      </w:r>
      <w:r>
        <w:rPr>
          <w:u w:val="single"/>
        </w:rPr>
        <w:t xml:space="preserve"> </w:t>
      </w:r>
      <w:r>
        <w:rPr>
          <w:u w:val="single"/>
        </w:rPr>
        <w:t xml:space="preserve">On receiving notice from a provider regarding nonpayment, the commission shall temporarily cease providing a state match and shall notify the employer that the agreement will be terminated unless the employer remedies the nonpayment not later than the fifth business day after receiving notification from the commission. </w:t>
      </w:r>
      <w:r>
        <w:rPr>
          <w:u w:val="single"/>
        </w:rPr>
        <w:t xml:space="preserve"> </w:t>
      </w:r>
      <w:r>
        <w:rPr>
          <w:u w:val="single"/>
        </w:rPr>
        <w:t xml:space="preserve">If the provider fails to notify the commission of the nonpayment and receives a state match from the commission on behalf of that employer's employee, the provider shall reimburse the commission for the amount of the state match.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employee fails to pay the child-care provider for costs not covered by the employer contribution and the state match in accordance with the terms of the agreement, the child-care provider may give the employee reasonable time to remedy the nonpayment. </w:t>
      </w:r>
      <w:r>
        <w:rPr>
          <w:u w:val="single"/>
        </w:rPr>
        <w:t xml:space="preserve"> </w:t>
      </w:r>
      <w:r>
        <w:rPr>
          <w:u w:val="single"/>
        </w:rPr>
        <w:t xml:space="preserve">A child-care provider may notify the commission and terminate the contract on the date that the notification was issued. </w:t>
      </w:r>
      <w:r>
        <w:rPr>
          <w:u w:val="single"/>
        </w:rPr>
        <w:t xml:space="preserve"> </w:t>
      </w:r>
      <w:r>
        <w:rPr>
          <w:u w:val="single"/>
        </w:rPr>
        <w:t xml:space="preserve">If the child-care provider voluntarily excuses the employee's nonpayment or the child-care provider does not notify the commission within two calendar months from the date of the employee's nonpayment and continues to provide services, the agreement shall be automatically modified to reflect the reduction in value.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child-care provider ceases participation or otherwise becomes ineligible to participate in the program, the provider shall notify all parties to the agreement immediately.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319.011.</w:t>
      </w:r>
      <w:r>
        <w:rPr>
          <w:u w:val="single"/>
        </w:rPr>
        <w:t xml:space="preserve"> </w:t>
      </w:r>
      <w:r>
        <w:rPr>
          <w:u w:val="single"/>
        </w:rPr>
        <w:t xml:space="preserve"> </w:t>
      </w:r>
      <w:r>
        <w:rPr>
          <w:u w:val="single"/>
        </w:rPr>
        <w:t xml:space="preserve">REPORTS.  (a)  The commission shall publish and submit to the legislature a report detailing the efficacy of the program not later than July 15 and December 15 of each year. </w:t>
      </w:r>
      <w:r>
        <w:rPr>
          <w:u w:val="single"/>
        </w:rPr>
        <w:t xml:space="preserve"> </w:t>
      </w:r>
      <w:r>
        <w:rPr>
          <w:u w:val="single"/>
        </w:rPr>
        <w:t xml:space="preserve">The report must include the following information about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appropriated to the program fund during the preceding state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standardized agreements submitted by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state matches paid out of the program fund, disaggregated by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size, geographical location, and industry type of employers who participated in the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number, license type, Texas Rising Star quality rating level, and geographical distribution of participating child-care providers;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average cost for services charged by child-care providers participating in the program and information regarding the amount by which those costs have increased or decreased during the most recent reporting period compared with previous reporting periods;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number and total dollar value of agreements not approved by the commission;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demographic information regarding employees participating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2024, the commission shall publish and submit to the legislature a report detailing the commission's plan for implementing the program. </w:t>
      </w:r>
      <w:r>
        <w:rPr>
          <w:u w:val="single"/>
        </w:rPr>
        <w:t xml:space="preserve"> </w:t>
      </w:r>
      <w:r>
        <w:rPr>
          <w:u w:val="single"/>
        </w:rPr>
        <w:t xml:space="preserve">This subsection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319.012.</w:t>
      </w:r>
      <w:r>
        <w:rPr>
          <w:u w:val="single"/>
        </w:rPr>
        <w:t xml:space="preserve"> </w:t>
      </w:r>
      <w:r>
        <w:rPr>
          <w:u w:val="single"/>
        </w:rPr>
        <w:t xml:space="preserve"> </w:t>
      </w:r>
      <w:r>
        <w:rPr>
          <w:u w:val="single"/>
        </w:rPr>
        <w:t xml:space="preserve">FALSE INFORMATION; CIVIL PENALTY.  A person who intentionally provides false information to the commission for purposes of receiving the benefits of the program shall be subject to a civil penalty of not more than $500 per violation. </w:t>
      </w:r>
      <w:r>
        <w:rPr>
          <w:u w:val="single"/>
        </w:rPr>
        <w:t xml:space="preserve"> </w:t>
      </w:r>
      <w:r>
        <w:rPr>
          <w:u w:val="single"/>
        </w:rPr>
        <w:t xml:space="preserve">All money collected as a result of penalties assessed under this section shall be paid into the state treasury and credited to the employee child-care assistance program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Texas Workforce Commission shall adopt any rules necessary to administer the employer child-care contribution partnership program established under Chapter 319, Labor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