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88R16147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3786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the rights of crime victims.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56A.051, Code of Criminal Procedure, is amended by adding Subsections (d), (e), (f),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victim, guardian of a victim, or close relative of a deceased victim may assert and seek enforcement of any right granted by this subchapter, either orally or in writing.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representing the state or an attorney representing a victim, guardian of a victim, or close relative of a deceased victim may assert a right granted by this subchapter to the victim, guardian, or relative, or request enforcement of the right, by filing a motion, petition for a writ of mandamus, or action for injunctive or declaratory relief in a trial or appellate court with jurisdiction over the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determines, after a hearing at which all parties have an opportunity to testify, that a right of a victim, guardian of a victim, or close relative of a deceased victim has been violated, the court shall order that the victim, guardian, or relative be provided the right to which the victim, guardian, or relative was entitled.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remedy ordered under Subsection (f) may not change the: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verdict;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sentence imposed;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terms of an accepted plea bargain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outcome of a parole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