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3787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agreement with a private entity for dynamic message signs used in certain statewide alert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K-2 to read as follows:</w:t>
      </w:r>
    </w:p>
    <w:p w:rsidR="003F3435" w:rsidRDefault="0032493E">
      <w:pPr>
        <w:spacing w:line="480" w:lineRule="auto"/>
        <w:jc w:val="center"/>
      </w:pPr>
      <w:r>
        <w:rPr>
          <w:u w:val="single"/>
        </w:rPr>
        <w:t xml:space="preserve">SUBCHAPTER K-2. DYNAMIC MESSAGE SIGNS FOR ALERT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411.321.</w:t>
      </w:r>
      <w:r>
        <w:rPr>
          <w:u w:val="single"/>
        </w:rPr>
        <w:t xml:space="preserve"> </w:t>
      </w:r>
      <w:r>
        <w:rPr>
          <w:u w:val="single"/>
        </w:rPr>
        <w:t xml:space="preserve"> </w:t>
      </w:r>
      <w:r>
        <w:rPr>
          <w:u w:val="single"/>
        </w:rPr>
        <w:t xml:space="preserve">DYNAMIC MESSAGE SIGNS.  (a) Except as provided by Subsection (c), the Texas Department of Transportation shall enter into an agreement with a private entity to provide information necessary for statewide alert systems created under Subchapters K-1, L, L-1, M, P, P-1, and Q through a system of dynamic message signs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across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capable of displaying digital images useful in locating the missing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agreement under Subsection (a) must generate net revenue to the state, and tax revenue may not be used to fund the installation and operation of the dynamic message signs described by Subsection (a). The Texas Department of Transportation may accept gifts and grants of money, equipment, or other resources necessary to install and operate the dynamic message signs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Transportation is not required to enter into an agreement under Subsection (a) if the department receives notice from the United States Department of Transportation Federal Highway Administration that the use of the dynamic message signs described by that subsection would result in the loss of federal highway funding or other punitive actions taken against this state due to noncompliance with federal laws, regulations, or policies.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