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88R12569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a public school to certify compliance with the requirements to discharge or refuse to employ certain ineligible persons and to report certain educator misconduct.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22.092, Education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school year, the superintendent of a school district or chief operating officer of an open-enrollment charter school shall certify to the commissioner that the district or school has complied with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22.093, Education Code, is amended by adding Subsection (k-1)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(k-1)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school year, the superintendent of a school district or chief operating officer of an open-enrollment charter school shall certify to the commissioner that the district or school has complied with the requirement to report misconduct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