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88R9164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3797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concurrent jurisdiction of prosecuting attorneys in adjoining districts or counties to prosecute criminal offenses involving the election laws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CONCURRENT JURISDICTION OF PROSECUTING ATTORNEY IN ADJOINING DISTRICT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DEFINITION.  In this subchapter, "prosecuting attorney" means a district attorney, criminal district attorney, or county attorney with criminal jurisdiction.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CONCURRENT JURISDICTION.  (a) </w:t>
      </w:r>
      <w:r>
        <w:rPr>
          <w:u w:val="single"/>
        </w:rPr>
        <w:t xml:space="preserve"> </w:t>
      </w:r>
      <w:r>
        <w:rPr>
          <w:u w:val="single"/>
        </w:rPr>
        <w:t xml:space="preserve">Notwithstanding any other law, a prosecuting attorney with the authority to prosecute a felony or misdemeanor involving the election laws of this state in the prosecuting attorney's county or district has, in an adjoining county or district, as applicable, concurrent jurisdiction with the prosecuting attorney of the adjoining county or district who prosecutes that class of offense to prosecute an offense of that class involving the election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not more than three prosecuting attorneys have jurisdiction to prosecute an offense under Subsection (a), a prosecuting attorney in a county or district, as applicable, adjacent to a county or district that is adjacent to the county or district in which the offense was committed has concurrent jurisdiction with the prosecuting attorney in the county or district in which the offense was committed who prosecutes that class of offense to prosecute an offense of that class involving the election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PROSECUTION FOR SAME OFFENSE OR OFFENSE ARISING FROM SAME CRIMINAL EPISODE PROHIBITED.  After a prosecuting attorney commences a criminal action involving the election laws of this state, another prosecuting attorney with jurisdiction over the matter, including concurrent jurisdiction described by Section 273.102, may assist in prosecuting the action but may not commence a criminal action for the same offense or another offense arising from the same criminal episode, as defined by Section 3.01,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