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88R13203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centennial parks conservation fund to be administered by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3, Parks and Wildlife Code, is amended by adding Chapter 21-A to read as follows:</w:t>
      </w:r>
    </w:p>
    <w:p w:rsidR="003F3435" w:rsidRDefault="0032493E">
      <w:pPr>
        <w:spacing w:line="480" w:lineRule="auto"/>
        <w:jc w:val="center"/>
      </w:pPr>
      <w:r>
        <w:rPr>
          <w:u w:val="single"/>
        </w:rPr>
        <w:t xml:space="preserve">CHAPTER 21-A. CENTENNIAL PARKS CONSERVATION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21-A.001.</w:t>
      </w:r>
      <w:r>
        <w:rPr>
          <w:u w:val="single"/>
        </w:rPr>
        <w:t xml:space="preserve"> </w:t>
      </w:r>
      <w:r>
        <w:rPr>
          <w:u w:val="single"/>
        </w:rPr>
        <w:t xml:space="preserve"> </w:t>
      </w:r>
      <w:r>
        <w:rPr>
          <w:u w:val="single"/>
        </w:rPr>
        <w:t xml:space="preserve">DEFINITION.  In this chapter, "fund" means the centennial parks conservation fund established under Section 49-e-1,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21-A.002.</w:t>
      </w:r>
      <w:r>
        <w:rPr>
          <w:u w:val="single"/>
        </w:rPr>
        <w:t xml:space="preserve"> </w:t>
      </w:r>
      <w:r>
        <w:rPr>
          <w:u w:val="single"/>
        </w:rPr>
        <w:t xml:space="preserve"> </w:t>
      </w:r>
      <w:r>
        <w:rPr>
          <w:u w:val="single"/>
        </w:rPr>
        <w:t xml:space="preserve">USE OF CENTENNIAL PARKS CONSERVATION FUND.  Money in the fund may be spent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state park sites from the United States or any of its agencies, agencies of the state, or any 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develop, beautify, equip, and maintain park sites;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grants to political subdivisions for local parks as provided by Chapter 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 department land, soil, and water conservation efforts.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 but only if the constitutional amendment proposed by the 88th Legislature, Regular Session, 2023, providing for the creation of the centennial parks conservation fund to be administered by the Parks and Wildlife Department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