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88R12105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Plesa</w:t>
      </w:r>
      <w:r xml:space="preserve">
        <w:tab wTab="150" tlc="none" cTlc="0"/>
      </w:r>
      <w:r>
        <w:t xml:space="preserve">H.B.</w:t>
      </w:r>
      <w:r xml:space="preserve">
        <w:t> </w:t>
      </w:r>
      <w:r>
        <w:t xml:space="preserve">No.</w:t>
      </w:r>
      <w:r xml:space="preserve">
        <w:t> </w:t>
      </w:r>
      <w:r>
        <w:t xml:space="preserve">3802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imposition of a tax on commercial electric vehicle charging services based on the amount of electricity transferred.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E, Title 2, Tax Code, is amended by adding Chapter 164 to read as follows:</w:t>
      </w:r>
    </w:p>
    <w:p w:rsidR="003F3435" w:rsidRDefault="0032493E">
      <w:pPr>
        <w:spacing w:line="480" w:lineRule="auto"/>
        <w:jc w:val="center"/>
      </w:pPr>
      <w:r>
        <w:rPr>
          <w:u w:val="single"/>
        </w:rPr>
        <w:t xml:space="preserve">CHAPTER 164. </w:t>
      </w:r>
      <w:r>
        <w:rPr>
          <w:u w:val="single"/>
        </w:rPr>
        <w:t xml:space="preserve"> </w:t>
      </w:r>
      <w:r>
        <w:rPr>
          <w:u w:val="single"/>
        </w:rPr>
        <w:t xml:space="preserve">TAX ON COMMERCIAL ELECTRIC VEHICLE CHARGING SERVICES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"Charging provider" means a person who provides a commercial charging service.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"Commercial charging service" means the use of equipment to transfer electric energy from electric supply to an electric vehicle in a commercial transaction.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164.002.</w:t>
      </w:r>
      <w:r>
        <w:rPr>
          <w:u w:val="single"/>
        </w:rPr>
        <w:t xml:space="preserve"> </w:t>
      </w:r>
      <w:r>
        <w:rPr>
          <w:u w:val="single"/>
        </w:rPr>
        <w:t xml:space="preserve"> </w:t>
      </w:r>
      <w:r>
        <w:rPr>
          <w:u w:val="single"/>
        </w:rPr>
        <w:t xml:space="preserve">RULES.  The comptroller shall adopt rules to implement, administer, and enforce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IMPOSITION AND COLLECTION OF TAX</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164.021.</w:t>
      </w:r>
      <w:r>
        <w:rPr>
          <w:u w:val="single"/>
        </w:rPr>
        <w:t xml:space="preserve"> </w:t>
      </w:r>
      <w:r>
        <w:rPr>
          <w:u w:val="single"/>
        </w:rPr>
        <w:t xml:space="preserve"> </w:t>
      </w:r>
      <w:r>
        <w:rPr>
          <w:u w:val="single"/>
        </w:rPr>
        <w:t xml:space="preserve">TAX IMPOSED; POINT OF IMPOSITION OF TAX. </w:t>
      </w:r>
      <w:r>
        <w:rPr>
          <w:u w:val="single"/>
        </w:rPr>
        <w:t xml:space="preserve"> </w:t>
      </w:r>
      <w:r>
        <w:rPr>
          <w:u w:val="single"/>
        </w:rPr>
        <w:t xml:space="preserve">(a) </w:t>
      </w:r>
      <w:r>
        <w:rPr>
          <w:u w:val="single"/>
        </w:rPr>
        <w:t xml:space="preserve"> </w:t>
      </w:r>
      <w:r>
        <w:rPr>
          <w:u w:val="single"/>
        </w:rPr>
        <w:t xml:space="preserve">A tax is imposed on each commercial charging service. </w:t>
      </w:r>
      <w:r>
        <w:rPr>
          <w:u w:val="single"/>
        </w:rPr>
        <w:t xml:space="preserve"> </w:t>
      </w:r>
      <w:r>
        <w:rPr>
          <w:u w:val="single"/>
        </w:rPr>
        <w:t xml:space="preserve">The charging provider is liable for and shall collect the tax from the purchaser of the commercial charging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of the tax shall be added to the selling price of the commercial charging service so that the tax is ultimately paid by the person consuming the electricity transferred in the commercial charging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164.022.</w:t>
      </w:r>
      <w:r>
        <w:rPr>
          <w:u w:val="single"/>
        </w:rPr>
        <w:t xml:space="preserve"> </w:t>
      </w:r>
      <w:r>
        <w:rPr>
          <w:u w:val="single"/>
        </w:rPr>
        <w:t xml:space="preserve"> </w:t>
      </w:r>
      <w:r>
        <w:rPr>
          <w:u w:val="single"/>
        </w:rPr>
        <w:t xml:space="preserve">RATE OF TAX. </w:t>
      </w:r>
      <w:r>
        <w:rPr>
          <w:u w:val="single"/>
        </w:rPr>
        <w:t xml:space="preserve"> </w:t>
      </w:r>
      <w:r>
        <w:rPr>
          <w:u w:val="single"/>
        </w:rPr>
        <w:t xml:space="preserve">The rate of the tax imposed by this chapter is $0.026 per kilowatt hour of electricity transferred in a commercial charging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164.023.</w:t>
      </w:r>
      <w:r>
        <w:rPr>
          <w:u w:val="single"/>
        </w:rPr>
        <w:t xml:space="preserve"> </w:t>
      </w:r>
      <w:r>
        <w:rPr>
          <w:u w:val="single"/>
        </w:rPr>
        <w:t xml:space="preserve"> </w:t>
      </w:r>
      <w:r>
        <w:rPr>
          <w:u w:val="single"/>
        </w:rPr>
        <w:t xml:space="preserve">RETURNS AND PAYMENTS. </w:t>
      </w:r>
      <w:r>
        <w:rPr>
          <w:u w:val="single"/>
        </w:rPr>
        <w:t xml:space="preserve"> </w:t>
      </w:r>
      <w:r>
        <w:rPr>
          <w:u w:val="single"/>
        </w:rPr>
        <w:t xml:space="preserve">(a) </w:t>
      </w:r>
      <w:r>
        <w:rPr>
          <w:u w:val="single"/>
        </w:rPr>
        <w:t xml:space="preserve"> </w:t>
      </w:r>
      <w:r>
        <w:rPr>
          <w:u w:val="single"/>
        </w:rPr>
        <w:t xml:space="preserve">On or before the 25th day of each month, each charging provider shall file a report and send to the comptroller the amount of tax due under this chapter for the preceding month. </w:t>
      </w:r>
      <w:r>
        <w:rPr>
          <w:u w:val="single"/>
        </w:rPr>
        <w:t xml:space="preserve"> </w:t>
      </w:r>
      <w:r>
        <w:rPr>
          <w:u w:val="single"/>
        </w:rPr>
        <w:t xml:space="preserve">A charging provider who has not provided a commercial charging service during the reporting period shall file with the comptroller a report that includes those facts or that information.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must state: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kilowatt hours of electricity transferred in commercial charging services during the preceding month;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required by the comptroller.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164.024.</w:t>
      </w:r>
      <w:r>
        <w:rPr>
          <w:u w:val="single"/>
        </w:rPr>
        <w:t xml:space="preserve"> </w:t>
      </w:r>
      <w:r>
        <w:rPr>
          <w:u w:val="single"/>
        </w:rPr>
        <w:t xml:space="preserve"> </w:t>
      </w:r>
      <w:r>
        <w:rPr>
          <w:u w:val="single"/>
        </w:rPr>
        <w:t xml:space="preserve">RECORDS. </w:t>
      </w:r>
      <w:r>
        <w:rPr>
          <w:u w:val="single"/>
        </w:rPr>
        <w:t xml:space="preserve"> </w:t>
      </w:r>
      <w:r>
        <w:rPr>
          <w:u w:val="single"/>
        </w:rPr>
        <w:t xml:space="preserve">A person on whom a tax is imposed by this chapter shall keep a complete record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kilowatt hours of electricity transferred in commercial charging services;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required by the comptroller.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164.025.</w:t>
      </w:r>
      <w:r>
        <w:rPr>
          <w:u w:val="single"/>
        </w:rPr>
        <w:t xml:space="preserve"> </w:t>
      </w:r>
      <w:r>
        <w:rPr>
          <w:u w:val="single"/>
        </w:rPr>
        <w:t xml:space="preserve"> </w:t>
      </w:r>
      <w:r>
        <w:rPr>
          <w:u w:val="single"/>
        </w:rPr>
        <w:t xml:space="preserve">PERMIT.  The comptroller by rule may require a charging provider to obtain a permit under Section 151.201.</w:t>
      </w:r>
    </w:p>
    <w:p w:rsidR="003F3435" w:rsidRDefault="0032493E">
      <w:pPr>
        <w:spacing w:line="480" w:lineRule="auto"/>
        <w:jc w:val="center"/>
      </w:pPr>
      <w:r>
        <w:rPr>
          <w:u w:val="single"/>
        </w:rPr>
        <w:t xml:space="preserve">SUBCHAPTER C. </w:t>
      </w:r>
      <w:r>
        <w:rPr>
          <w:u w:val="single"/>
        </w:rPr>
        <w:t xml:space="preserve"> </w:t>
      </w:r>
      <w:r>
        <w:rPr>
          <w:u w:val="single"/>
        </w:rPr>
        <w:t xml:space="preserve">DISPOSITION OF PROCEEDS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164.041.</w:t>
      </w:r>
      <w:r>
        <w:rPr>
          <w:u w:val="single"/>
        </w:rPr>
        <w:t xml:space="preserve"> </w:t>
      </w:r>
      <w:r>
        <w:rPr>
          <w:u w:val="single"/>
        </w:rPr>
        <w:t xml:space="preserve"> </w:t>
      </w:r>
      <w:r>
        <w:rPr>
          <w:u w:val="single"/>
        </w:rPr>
        <w:t xml:space="preserve">DISPOSITION OF PROCEEDS. </w:t>
      </w:r>
      <w:r>
        <w:rPr>
          <w:u w:val="single"/>
        </w:rPr>
        <w:t xml:space="preserve"> </w:t>
      </w:r>
      <w:r>
        <w:rPr>
          <w:u w:val="single"/>
        </w:rPr>
        <w:t xml:space="preserve">The comptroller shall deposit the proceeds from the collection of the tax imposed under this chapter to the credit of the state highway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3802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