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88R3720 SGM-F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Shine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3804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fire protection sprinkler system requirements for certain residential buildings by municipalities, counties, and emergency services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250.011(a), Local Government Code, as added by Chapter 315 (H.B. 738), Acts of the 87th Legislature, Regular Session, 2021,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Notwithstanding any other law and except as provided by Subsection (c), a municipality, county, or emergency services district may not enact an ordinance, bylaw, order, building code, or rule </w:t>
      </w:r>
      <w:r>
        <w:rPr>
          <w:u w:val="single"/>
        </w:rPr>
        <w:t xml:space="preserve">that in any manner requires or conditions, directly or indirectly, any regulatory approval on</w:t>
      </w:r>
      <w:r>
        <w:t xml:space="preserve"> [</w:t>
      </w:r>
      <w:r>
        <w:rPr>
          <w:strike/>
        </w:rPr>
        <w:t xml:space="preserve">requiring</w:t>
      </w:r>
      <w:r>
        <w:t xml:space="preserve">] the installation of a multipurpose residential fire protection sprinkler system or any other fire protection sprinkler system in a new or existing one- or two-family dwelling.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amendment by this Act of Section 250.011, Local Government Code, is intended to clarify rather than change existing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