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88R109 BDP-F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Shine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3806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rules or procedures of the Commission on Jail Standards regarding prisoner visitation.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511.009(a-1),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(a-1)</w:t>
      </w:r>
      <w:r xml:space="preserve">
        <w:t> </w:t>
      </w:r>
      <w:r xml:space="preserve">
        <w:t> </w:t>
      </w:r>
      <w:r>
        <w:t xml:space="preserve">A county jail that as of September 1, 2015, has incurred significant design, engineering, or construction costs to provide prisoner visitation that does not comply with a rule or procedure adopted under Subsection (a)(16), or does not have the physical plant capability to provide the in-person prisoner visitation required by a rule or procedure adopted under Subsection (a)(16), is not required to comply with any commission rule or procedure adopted under Subsection (a)(16).  </w:t>
      </w:r>
      <w:r>
        <w:rPr>
          <w:u w:val="single"/>
        </w:rPr>
        <w:t xml:space="preserve">Any addition to or renovation of a county jail to which this subsection applies is not required to comply with any commission rule or procedure adopted under Subsection (a)(16).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