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88R8154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3812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use of the Texas Infrastructure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403, Government Code, is amended by adding Subchapter U to read as follows:</w:t>
      </w:r>
    </w:p>
    <w:p w:rsidR="003F3435" w:rsidRDefault="0032493E">
      <w:pPr>
        <w:spacing w:line="480" w:lineRule="auto"/>
        <w:jc w:val="center"/>
      </w:pPr>
      <w:r>
        <w:rPr>
          <w:u w:val="single"/>
        </w:rPr>
        <w:t xml:space="preserve">SUBCHAPTER U. TEXAS INFRASTRUCTURE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403.651.</w:t>
      </w:r>
      <w:r>
        <w:rPr>
          <w:u w:val="single"/>
        </w:rPr>
        <w:t xml:space="preserve"> </w:t>
      </w:r>
      <w:r>
        <w:rPr>
          <w:u w:val="single"/>
        </w:rPr>
        <w:t xml:space="preserve"> </w:t>
      </w:r>
      <w:r>
        <w:rPr>
          <w:u w:val="single"/>
        </w:rPr>
        <w:t xml:space="preserve">DEFINITION.  In this subchapter, "fund" means the Texas Infrastructure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403.652.</w:t>
      </w:r>
      <w:r>
        <w:rPr>
          <w:u w:val="single"/>
        </w:rPr>
        <w:t xml:space="preserve"> </w:t>
      </w:r>
      <w:r>
        <w:rPr>
          <w:u w:val="single"/>
        </w:rPr>
        <w:t xml:space="preserve"> </w:t>
      </w:r>
      <w:r>
        <w:rPr>
          <w:u w:val="single"/>
        </w:rPr>
        <w:t xml:space="preserve">TEXAS INFRASTRUCTURE FUND.  (a) </w:t>
      </w:r>
      <w:r>
        <w:rPr>
          <w:u w:val="single"/>
        </w:rPr>
        <w:t xml:space="preserve"> </w:t>
      </w:r>
      <w:r>
        <w:rPr>
          <w:u w:val="single"/>
        </w:rPr>
        <w:t xml:space="preserve">The Texas Infrastructure Fund is established as a fund in the state treasury outside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credit of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interest and other earnings attributable to the investment of money in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to the comptroller for the purpose of awarding grants to public or private entities for infrastructure projects under this subchapter, including infrastructure projects involving: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water, ports, or other marine infrastructure;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broadband;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highways, toll roads, or bridges;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aviation;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rail;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transit infrastructure.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403.653.</w:t>
      </w:r>
      <w:r>
        <w:rPr>
          <w:u w:val="single"/>
        </w:rPr>
        <w:t xml:space="preserve"> </w:t>
      </w:r>
      <w:r>
        <w:rPr>
          <w:u w:val="single"/>
        </w:rPr>
        <w:t xml:space="preserve"> </w:t>
      </w:r>
      <w:r>
        <w:rPr>
          <w:u w:val="single"/>
        </w:rPr>
        <w:t xml:space="preserve">OVERSIGHT COMMITTEE.  (a) </w:t>
      </w:r>
      <w:r>
        <w:rPr>
          <w:u w:val="single"/>
        </w:rPr>
        <w:t xml:space="preserve"> </w:t>
      </w:r>
      <w:r>
        <w:rPr>
          <w:u w:val="single"/>
        </w:rPr>
        <w:t xml:space="preserve">The comptroller shall establish an oversight committee to make recommendations to the comptroller regarding the awarding of grants from money appropriated from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oversight committee is composed of the following seven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or the governor's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 or the lieutenant governor's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 or the speaker's designee;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commissioner of the General Land Office or the commissioner's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comptroller or the comptroller's designee;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executive director of the Texas Department of Transportation or the executive director's designee;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chief financial officer of the Texas Department of Transportation or the officer's designee.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403.654.</w:t>
      </w:r>
      <w:r>
        <w:rPr>
          <w:u w:val="single"/>
        </w:rPr>
        <w:t xml:space="preserve"> </w:t>
      </w:r>
      <w:r>
        <w:rPr>
          <w:u w:val="single"/>
        </w:rPr>
        <w:t xml:space="preserve"> </w:t>
      </w:r>
      <w:r>
        <w:rPr>
          <w:u w:val="single"/>
        </w:rPr>
        <w:t xml:space="preserve">AWARD OF GRANTS.  To the extent practicable, the comptroller shall award grants from money appropriated from the fund in a manner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takes into account the recommendations made to the comptroller by the oversight committee under Section 403.653;</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ensures that the amount awarded for a specific type of infrastructure project does not exceed 50 percent of the amount appropriated from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promotes and supports public-private partnerships that the comptroller determines: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financially viable;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diversify the methods of financing available for infrastructure projects;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will reduce reliance on the issuance of general obligation bonds supported with state general revenue.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403.655.</w:t>
      </w:r>
      <w:r>
        <w:rPr>
          <w:u w:val="single"/>
        </w:rPr>
        <w:t xml:space="preserve"> </w:t>
      </w:r>
      <w:r>
        <w:rPr>
          <w:u w:val="single"/>
        </w:rPr>
        <w:t xml:space="preserve"> </w:t>
      </w:r>
      <w:r>
        <w:rPr>
          <w:u w:val="single"/>
        </w:rPr>
        <w:t xml:space="preserve">RULES.  (a) </w:t>
      </w:r>
      <w:r>
        <w:rPr>
          <w:u w:val="single"/>
        </w:rPr>
        <w:t xml:space="preserve"> </w:t>
      </w:r>
      <w:r>
        <w:rPr>
          <w:u w:val="single"/>
        </w:rPr>
        <w:t xml:space="preserve">The comptroller shall adopt rules regarding the awarding of grants from money appropriated from the fund, including rules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criteria for evaluating grant applications and awarding grants;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guidelines related to grant amounts;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and ensuring compliance with any conditions of the grant.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may include rules requiring a grantee to provide matching funds as a condition of the grant.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