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88R19215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3813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3813:</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3813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participate as an annuitant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1551.102, Insurance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individual is eligible to participate in the group benefits program as provided by Subsection (a)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employed for at least 10 years by a school district established as specified by Section 19.002, Education Code, as the individual's last position of employment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years of eligible service credit and is the sole surviving spouse of military personnel who was killed in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retires under the jurisdiction of the Teacher Retirement System of Texas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accumulated membership service credit as provided by Section 823.201(a),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