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88R18984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3817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3817:</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3817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court requiring a defendant confined in a penal institution to appear by videoconference for certain pretrial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Code of Criminal Procedure, is amended by adding Article 1.027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1.027.</w:t>
      </w:r>
      <w:r>
        <w:rPr>
          <w:u w:val="single"/>
        </w:rPr>
        <w:t xml:space="preserve"> </w:t>
      </w:r>
      <w:r>
        <w:rPr>
          <w:u w:val="single"/>
        </w:rPr>
        <w:t xml:space="preserve"> </w:t>
      </w:r>
      <w:r>
        <w:rPr>
          <w:u w:val="single"/>
        </w:rPr>
        <w:t xml:space="preserve">PRESENCE BY VIDEOCONFERENCE.  (a)  In this article, "pretrial proceeding" means a pretrial hearing, including an arraignment, other than a hearing or arraignment at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plea of guilty or nolo contendere is entered;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including sworn testimony, is received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code, a court may require a defendant without the defendant's consent to appear, for any pretrial proceeding related to the prosecution of a criminal offense, by videoconference in the manner described by Article 27.18 if the defendant is confined in a penal institution at the time of the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on a motion from the defendant or attorney representing the state or on the court's own motion, the court determines that the defendant's circumstances require the defendant's physical presence in the courtroom for a pretrial proceeding, the court shall continue the proceeding until the defendant is physically present in the courtroom.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proceeding that commences on or after the effective date of this Act. </w:t>
      </w:r>
      <w:r>
        <w:t xml:space="preserve"> </w:t>
      </w:r>
      <w:r>
        <w:t xml:space="preserve">A criminal proceeding that commenced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