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88R4785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3817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court requiring a defendant confined in a penal institution to appear by videoconference in a criminal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Code of Criminal Procedure, is amended by adding Article 1.027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1.027.</w:t>
      </w:r>
      <w:r>
        <w:rPr>
          <w:u w:val="single"/>
        </w:rPr>
        <w:t xml:space="preserve"> </w:t>
      </w:r>
      <w:r>
        <w:rPr>
          <w:u w:val="single"/>
        </w:rPr>
        <w:t xml:space="preserve"> </w:t>
      </w:r>
      <w:r>
        <w:rPr>
          <w:u w:val="single"/>
        </w:rPr>
        <w:t xml:space="preserve">PRESENCE BY VIDEOCONFERENCE.  Notwithstanding any other provision of this code, a court may require a defendant without the defendant's consent to appear, for any proceeding related to the prosecution of a criminal offense, by videoconference in the manner described by Article 27.18 if the defendant is confined in a penal institution at the time of the proceeding.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proceeding that commences on or after the effective date of this Act. </w:t>
      </w:r>
      <w:r>
        <w:t xml:space="preserve"> </w:t>
      </w:r>
      <w:r>
        <w:t xml:space="preserve">A criminal proceeding that commenced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