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88R7232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3819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combining incorporated and unincorporated territory into a county election precinct.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42.007,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42.007.</w:t>
      </w:r>
      <w:r xml:space="preserve">
        <w:t> </w:t>
      </w:r>
      <w:r xml:space="preserve">
        <w:t> </w:t>
      </w:r>
      <w:r>
        <w:t xml:space="preserve">COMBINING INCORPORATED AND UNINCORPORATED TERRITORY.  A commissioners court may not establish a county election precinct containing territory inside a city with a population of 10,000 or more and unincorporated territory outside that city unless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commissioners court determines that either of the two areas: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cannot constitute a separate election precinct of suitable size or shape that contains the permissible number of voters;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cannot be combined with other territory on the same side of the city boundary to form an election precinct of a suitable size or shape that contains the permissible number of voters without causing another election precinct to fail to meet those requirements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two areas are located in a county participating in the countywide polling place program under Section 43.007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3819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