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88R3216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3822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construction of nontolled frontage roads adjacent to certain toll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372, Transportation Code, is amended by adding Section 372.059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372.059.</w:t>
      </w:r>
      <w:r>
        <w:rPr>
          <w:u w:val="single"/>
        </w:rPr>
        <w:t xml:space="preserve"> </w:t>
      </w:r>
      <w:r>
        <w:rPr>
          <w:u w:val="single"/>
        </w:rPr>
        <w:t xml:space="preserve"> </w:t>
      </w:r>
      <w:r>
        <w:rPr>
          <w:u w:val="single"/>
        </w:rPr>
        <w:t xml:space="preserve">CONSTRUCTION OF NONTOLLED FRONTAGE ROAD REQUIRED FOR CERTAIN TOLL PROJECTS.  (a)  Except as provided by Section 228.201, a toll project entity may not construct a toll project along the route of a previously nontolled highway unless the entity constructs at least one adjacent nontolled lane of frontage road for each direction of travel of the toll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lanes of frontage road described by Subsection (a) shall be maintained by the entity that had authority over the previously nontolled highway along which the toll project is constructed.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372.059, Transportation Code, as added by this Act, applies only to a toll project for which a contract for financing, construction, or operation is entered into on or after the effective date of this Act.  A toll project for which a contract was entered into before the effective date of this Act is governed by the law as it existed at the time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