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Hughes)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3824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15,</w:t>
      </w:r>
      <w:r xml:space="preserve">
        <w:t> </w:t>
      </w:r>
      <w:r>
        <w:t xml:space="preserve">2023; May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Health &amp; Human Services; May</w:t>
      </w:r>
      <w:r xml:space="preserve">
        <w:t> </w:t>
      </w:r>
      <w:r>
        <w:t xml:space="preserve">21,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21,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administration of a local anesthetic agent by a dental hygienist.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258.001,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258.001.</w:t>
      </w:r>
      <w:r xml:space="preserve">
        <w:t> </w:t>
      </w:r>
      <w:r xml:space="preserve">
        <w:t> </w:t>
      </w:r>
      <w:r>
        <w:t xml:space="preserve">IMPERMISSIBLE DELEGATIONS.  A dentist may not delegate: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act to an individual who, by board order, is prohibited from performing the 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of the following acts to a person not licensed as a dentist or dental hygienist: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removal of calculus, deposits, or accretions from the natural and restored surfaces of exposed human teeth and restorations in the human mouth;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root planing or the smoothing and polishing of roughened root surfaces or exposed human teeth;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any other act the delegation of which is prohibited by board rule;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any of the following acts to a person not licensed as a dentist: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comprehensive examination or diagnosis and treatment planning;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surgical or cutting procedure on hard or soft tissue;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prescription of a drug, medication, or work authorization;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taking of an impression for a final restoration, appliance, or prosthesis;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making of an intraoral occlusal adjustment;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direct pulp capping, pulpotomy, or any other endodontic procedure;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the final placement and intraoral adjustment of a fixed or removable appliance;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placement of any final restoration;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authority to an individual to administer a local anesthetic agent, inhalation sedative agent, parenteral sedative agent, or general anesthetic agent, including as a teledentistry dental service as that term is defined by Section 111.001, if the individual is not licensed as: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dentist with a permit issued by the board for the procedure being performed, if a permit is required;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certified registered nurse anesthetist licensed by the Texas Board of Nursing, only if the delegating dentist holds a permit issued by the board for the procedure being performed, if a permit is required;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physician anesthesiologist licensed by the Texas Medical Board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authority to a dental hygienist to administer a local anesthetic agent unless: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dental hygienist: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administers the local anesthetic agent by infiltration for purposes of a procedure the dental hygienist is authorized to perform;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passed a board-approved certification examination relating to the administration of a local anesthetic agent;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either:</w:t>
      </w:r>
      <w:r>
        <w:t xml:space="preserve"> 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completed a board-approved course of study designed to train dental hygienists to administer a local anesthetic agent by infiltration; or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the preceding year, was authorized to administer a local anesthetic agent by:</w:t>
      </w:r>
      <w:r>
        <w:t xml:space="preserve"> </w:t>
      </w:r>
    </w:p>
    <w:p w:rsidR="003F3435" w:rsidRDefault="0032493E">
      <w:pPr>
        <w:spacing w:line="480" w:lineRule="auto"/>
        <w:ind w:firstLine="432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branch of the United States armed forces; or</w:t>
      </w:r>
    </w:p>
    <w:p w:rsidR="003F3435" w:rsidRDefault="0032493E">
      <w:pPr>
        <w:spacing w:line="480" w:lineRule="auto"/>
        <w:ind w:firstLine="432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state with clinical and didactic education requirements substantially equivalent to the requirements of a course approved by the board under Sub-subparagraph (a);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complies with any applicable rules adopted by the board establishing minimum standards for the administration of a local anesthetic agent;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delegating dentist is physically present in the facility where the procedure is occurring and is continuously aware of the patient's physical status and well-being;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patient to whom the local anesthetic agent is administered is: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18 years of age; and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sedated, or is sedated using only nitrous oxide-oxygen inhalation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262.002(a),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practices dental hygiene if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removes accumulated matter, tartar, deposits, accretions, or stains, other than mottled enamel stains, from the natural and restored surface of exposed human teeth and restorations in the human mouth;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smoothes roughened root surfaces;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polishes exposed human teeth, restorations in the human mouth, or roughened root surfaces;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topically applies drugs to the surface tissues of the human mouth or the exposed surface of human teeth;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makes dental x-rays;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rPr>
          <w:u w:val="single"/>
        </w:rPr>
        <w:t xml:space="preserve">administers a local anesthetic agent under the authorization and supervision of a dentist in compliance with Section 258.001(5);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 xml:space="preserve">
        <w:t> </w:t>
      </w:r>
      <w:r xml:space="preserve">
        <w:t> </w:t>
      </w:r>
      <w:r>
        <w:t xml:space="preserve">performs any other service, task, or procedure prescribed by board rule.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 Not later than January 1, 2024, the State Board of Dental Examiners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prescribe by rule the requirements for a course to train dental hygienists to administer a local anesthetic agent consistent with Section 258.001, Occupations Code, as amended by this 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develop a procedure for the approval of courses described by Subdivision (1) of this subsection;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adopt rules to administer Sections 258.001 and 262.002, Occupations Code, as amended by this Act, including rules to establish the minimum standards for the administration of a local anesthetic agent by a dental hygienist consistent with those 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rule adopted under Subsection (a)(1) of this section must require that a course be offered in a classroom setting at an educational institution accredited by the Commission on Dental Accreditation of the American Dental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