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88R7926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fine arts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1.3 for a student in grades 6 through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 for a student in grade 9 or 10;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1.1 for a student in grade 11 or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funds allocated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25 percent of the funds allocated under Subsection (a)(1) must be used in a manner that prioritizes providing fine arts education to students in grades six through eight who are eligible for the compensatory education allotment under Section 48.104;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total funds allocated under this section must be used to provide fine arts education courses to students in grades six through eight;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necessary to meet the requirement under Subdivision (2), at least 75 percent of funds allocated under Subsections (a)(2) and (3) must be used to provide fine arts education courses to students in grades 9 through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annually publish a list of fine arts courses approved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