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88R12574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3832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disposal of certain instructional materials by a public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board of trustees of a school district or governing body of an open-enrollment charter school may dispose of printed instructional material before the date the instructional material is discontinued for use in the public schools by the State Board of Education if the board of trustees or governing body determines that the instructional material is not needed by the district or school and the board of trustees or governing body does not reasonably expect that the instructional material will be needed.</w:t>
      </w:r>
      <w:r xml:space="preserve">
        <w:t> </w:t>
      </w:r>
      <w:r xml:space="preserve">
        <w:t> </w:t>
      </w:r>
      <w:r>
        <w:t xml:space="preserve">[</w:t>
      </w:r>
      <w:r>
        <w:rPr>
          <w:strike/>
        </w:rPr>
        <w:t xml:space="preserve">A district or school must notify the commissioner of any instructional material the district or school disposes of under this subsection.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