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88R13054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3835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management of the Iwo Jima monument and museum by the Texas Historical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442, Government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IWO JIMA MONUMENT AND MUSEUM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442.065.</w:t>
      </w:r>
      <w:r>
        <w:rPr>
          <w:u w:val="single"/>
        </w:rPr>
        <w:t xml:space="preserve"> </w:t>
      </w:r>
      <w:r>
        <w:rPr>
          <w:u w:val="single"/>
        </w:rPr>
        <w:t xml:space="preserve"> </w:t>
      </w:r>
      <w:r>
        <w:rPr>
          <w:u w:val="single"/>
        </w:rPr>
        <w:t xml:space="preserve">DEFINITION.  In this subchapter, "monument and museum" means the Iwo Jima monument and museum at the Marine Military Academy in Harlingen,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442.066.</w:t>
      </w:r>
      <w:r>
        <w:rPr>
          <w:u w:val="single"/>
        </w:rPr>
        <w:t xml:space="preserve"> </w:t>
      </w:r>
      <w:r>
        <w:rPr>
          <w:u w:val="single"/>
        </w:rPr>
        <w:t xml:space="preserve"> </w:t>
      </w:r>
      <w:r>
        <w:rPr>
          <w:u w:val="single"/>
        </w:rPr>
        <w:t xml:space="preserve">IWO JIMA MONUMENT AND MUSEUM; FUND. </w:t>
      </w:r>
      <w:r>
        <w:rPr>
          <w:u w:val="single"/>
        </w:rPr>
        <w:t xml:space="preserve"> </w:t>
      </w:r>
      <w:r>
        <w:rPr>
          <w:u w:val="single"/>
        </w:rPr>
        <w:t xml:space="preserve">(a) </w:t>
      </w:r>
      <w:r>
        <w:rPr>
          <w:u w:val="single"/>
        </w:rPr>
        <w:t xml:space="preserve"> </w:t>
      </w:r>
      <w:r>
        <w:rPr>
          <w:u w:val="single"/>
        </w:rPr>
        <w:t xml:space="preserve">To the extent authorized by law, the commission may enter into a contract with the nonprofit entity that owns the monument and museum to transfer to the commission the operation and management of the monument and museum.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contract authorized by this section must include provisions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expanding, renovating, managing, maintaining, operating, or providing financial support for the monument and museum, including administration, construction and operation of a visitor center and related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preserving military documents, relics, and other items of historical interest;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employing a director for the museum and other employees the commission considers necessary to fulfill its duties and responsibilities under the contract;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accepting donations of money, property, and historical relics;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property and historical relics with funds available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Iwo Jiwa monument and museum fund is created as a fund outside the state treasury.  The commission shall administer the fund but may contract with the nonprofit entity that owns the monument and museum for administration of the fund.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admissions revenue from the operation of the monument and museum;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sales revenue from the operation of the monument and museum gift shop;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donations made to the commission for the monument and museum.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Iwo Jiwa monument and museum fund may be spent without legislative appropriation and only to administer, operate, preserve, repair, expand or otherwise maintain the monument and museum.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Interest and income from the assets of the Iwo Jiwa monument and museum fund shall be credited to and deposited in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