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3843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and report by the Texas A&amp;M Transportation Institute regarding toll project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"Institute"</w:t>
      </w:r>
      <w:r>
        <w:t xml:space="preserve"> </w:t>
      </w:r>
      <w:r>
        <w:t xml:space="preserve">means the Texas A&amp;M Transportation Institute.</w:t>
      </w:r>
    </w:p>
    <w:p w:rsidR="003F3435" w:rsidRDefault="0032493E">
      <w:pPr>
        <w:spacing w:line="480" w:lineRule="auto"/>
        <w:ind w:firstLine="1440"/>
        <w:jc w:val="both"/>
      </w:pPr>
      <w:r>
        <w:t xml:space="preserve">(2)</w:t>
      </w:r>
      <w:r xml:space="preserve">
        <w:t> </w:t>
      </w:r>
      <w:r xml:space="preserve">
        <w:t> </w:t>
      </w:r>
      <w:r>
        <w:t xml:space="preserve">"Toll project" has the meaning assigned by Section 201.001(b), Transportation Code.</w:t>
      </w:r>
    </w:p>
    <w:p w:rsidR="003F3435" w:rsidRDefault="0032493E">
      <w:pPr>
        <w:spacing w:line="480" w:lineRule="auto"/>
        <w:ind w:firstLine="1440"/>
        <w:jc w:val="both"/>
      </w:pPr>
      <w:r>
        <w:t xml:space="preserve">(3)</w:t>
      </w:r>
      <w:r xml:space="preserve">
        <w:t> </w:t>
      </w:r>
      <w:r xml:space="preserve">
        <w:t> </w:t>
      </w:r>
      <w:r>
        <w:t xml:space="preserve">"Toll project entity" means an entity that operates a toll project, including:</w:t>
      </w:r>
    </w:p>
    <w:p w:rsidR="003F3435" w:rsidRDefault="0032493E">
      <w:pPr>
        <w:spacing w:line="480" w:lineRule="auto"/>
        <w:ind w:firstLine="2160"/>
        <w:jc w:val="both"/>
      </w:pPr>
      <w:r>
        <w:t xml:space="preserve">(A)</w:t>
      </w:r>
      <w:r xml:space="preserve">
        <w:t> </w:t>
      </w:r>
      <w:r xml:space="preserve">
        <w:t> </w:t>
      </w:r>
      <w:r>
        <w:t xml:space="preserve">the Texas Department of Transportation under Chapter 228, Transportation Code;</w:t>
      </w:r>
    </w:p>
    <w:p w:rsidR="003F3435" w:rsidRDefault="0032493E">
      <w:pPr>
        <w:spacing w:line="480" w:lineRule="auto"/>
        <w:ind w:firstLine="2160"/>
        <w:jc w:val="both"/>
      </w:pPr>
      <w:r>
        <w:t xml:space="preserve">(B)</w:t>
      </w:r>
      <w:r xml:space="preserve">
        <w:t> </w:t>
      </w:r>
      <w:r xml:space="preserve">
        <w:t> </w:t>
      </w:r>
      <w:r>
        <w:t xml:space="preserve">a regional tollway authority under Chapter 366, Transportation Code;</w:t>
      </w:r>
    </w:p>
    <w:p w:rsidR="003F3435" w:rsidRDefault="0032493E">
      <w:pPr>
        <w:spacing w:line="480" w:lineRule="auto"/>
        <w:ind w:firstLine="2160"/>
        <w:jc w:val="both"/>
      </w:pPr>
      <w:r>
        <w:t xml:space="preserve">(C)</w:t>
      </w:r>
      <w:r xml:space="preserve">
        <w:t> </w:t>
      </w:r>
      <w:r xml:space="preserve">
        <w:t> </w:t>
      </w:r>
      <w:r>
        <w:t xml:space="preserve">a regional mobility authority under Chapter 370, Transportation Code; or</w:t>
      </w:r>
    </w:p>
    <w:p w:rsidR="003F3435" w:rsidRDefault="0032493E">
      <w:pPr>
        <w:spacing w:line="480" w:lineRule="auto"/>
        <w:ind w:firstLine="2160"/>
        <w:jc w:val="both"/>
      </w:pPr>
      <w:r>
        <w:t xml:space="preserve">(D)</w:t>
      </w:r>
      <w:r xml:space="preserve">
        <w:t> </w:t>
      </w:r>
      <w:r xml:space="preserve">
        <w:t> </w:t>
      </w:r>
      <w:r>
        <w:t xml:space="preserve">a county under Chapter 284,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institute shall conduct a study comparing the practices and operations of toll project entities statewide.</w:t>
      </w:r>
    </w:p>
    <w:p w:rsidR="003F3435" w:rsidRDefault="0032493E">
      <w:pPr>
        <w:spacing w:line="480" w:lineRule="auto"/>
        <w:ind w:firstLine="720"/>
        <w:jc w:val="both"/>
      </w:pPr>
      <w:r>
        <w:t xml:space="preserve">(b)</w:t>
      </w:r>
      <w:r xml:space="preserve">
        <w:t> </w:t>
      </w:r>
      <w:r xml:space="preserve">
        <w:t> </w:t>
      </w:r>
      <w:r>
        <w:t xml:space="preserve">The study must include a comparison of:</w:t>
      </w:r>
    </w:p>
    <w:p w:rsidR="003F3435" w:rsidRDefault="0032493E">
      <w:pPr>
        <w:spacing w:line="480" w:lineRule="auto"/>
        <w:ind w:firstLine="1440"/>
        <w:jc w:val="both"/>
      </w:pPr>
      <w:r>
        <w:t xml:space="preserve">(1)</w:t>
      </w:r>
      <w:r xml:space="preserve">
        <w:t> </w:t>
      </w:r>
      <w:r xml:space="preserve">
        <w:t> </w:t>
      </w:r>
      <w:r>
        <w:t xml:space="preserve">toll operations;</w:t>
      </w:r>
    </w:p>
    <w:p w:rsidR="003F3435" w:rsidRDefault="0032493E">
      <w:pPr>
        <w:spacing w:line="480" w:lineRule="auto"/>
        <w:ind w:firstLine="1440"/>
        <w:jc w:val="both"/>
      </w:pPr>
      <w:r>
        <w:t xml:space="preserve">(2)</w:t>
      </w:r>
      <w:r xml:space="preserve">
        <w:t> </w:t>
      </w:r>
      <w:r xml:space="preserve">
        <w:t> </w:t>
      </w:r>
      <w:r>
        <w:t xml:space="preserve">error rates;</w:t>
      </w:r>
    </w:p>
    <w:p w:rsidR="003F3435" w:rsidRDefault="0032493E">
      <w:pPr>
        <w:spacing w:line="480" w:lineRule="auto"/>
        <w:ind w:firstLine="1440"/>
        <w:jc w:val="both"/>
      </w:pPr>
      <w:r>
        <w:t xml:space="preserve">(3)</w:t>
      </w:r>
      <w:r xml:space="preserve">
        <w:t> </w:t>
      </w:r>
      <w:r xml:space="preserve">
        <w:t> </w:t>
      </w:r>
      <w:r>
        <w:t xml:space="preserve">customer complaints and case escalations;</w:t>
      </w:r>
    </w:p>
    <w:p w:rsidR="003F3435" w:rsidRDefault="0032493E">
      <w:pPr>
        <w:spacing w:line="480" w:lineRule="auto"/>
        <w:ind w:firstLine="1440"/>
        <w:jc w:val="both"/>
      </w:pPr>
      <w:r>
        <w:t xml:space="preserve">(4)</w:t>
      </w:r>
      <w:r xml:space="preserve">
        <w:t> </w:t>
      </w:r>
      <w:r xml:space="preserve">
        <w:t> </w:t>
      </w:r>
      <w:r>
        <w:t xml:space="preserve">speed of processing;</w:t>
      </w:r>
    </w:p>
    <w:p w:rsidR="003F3435" w:rsidRDefault="0032493E">
      <w:pPr>
        <w:spacing w:line="480" w:lineRule="auto"/>
        <w:ind w:firstLine="1440"/>
        <w:jc w:val="both"/>
      </w:pPr>
      <w:r>
        <w:t xml:space="preserve">(5)</w:t>
      </w:r>
      <w:r xml:space="preserve">
        <w:t> </w:t>
      </w:r>
      <w:r xml:space="preserve">
        <w:t> </w:t>
      </w:r>
      <w:r>
        <w:t xml:space="preserve">billing practices; and</w:t>
      </w:r>
    </w:p>
    <w:p w:rsidR="003F3435" w:rsidRDefault="0032493E">
      <w:pPr>
        <w:spacing w:line="480" w:lineRule="auto"/>
        <w:ind w:firstLine="1440"/>
        <w:jc w:val="both"/>
      </w:pPr>
      <w:r>
        <w:t xml:space="preserve">(6)</w:t>
      </w:r>
      <w:r xml:space="preserve">
        <w:t> </w:t>
      </w:r>
      <w:r xml:space="preserve">
        <w:t> </w:t>
      </w:r>
      <w:r>
        <w:t xml:space="preserve">any other factors the institute deems appropriate.</w:t>
      </w:r>
    </w:p>
    <w:p w:rsidR="003F3435" w:rsidRDefault="0032493E">
      <w:pPr>
        <w:spacing w:line="480" w:lineRule="auto"/>
        <w:ind w:firstLine="720"/>
        <w:jc w:val="both"/>
      </w:pPr>
      <w:r>
        <w:t xml:space="preserve">(c)</w:t>
      </w:r>
      <w:r xml:space="preserve">
        <w:t> </w:t>
      </w:r>
      <w:r xml:space="preserve">
        <w:t> </w:t>
      </w:r>
      <w:r>
        <w:t xml:space="preserve">Not later than May 1, 2024, each toll project entity shall submit to the institute the entity's comments on best practices for and challenges experienced with the matters listed in Subsection (b) of this section and any other matter that presents a challenge to the entity in the operation of a toll project. </w:t>
      </w:r>
      <w:r>
        <w:t xml:space="preserve"> </w:t>
      </w:r>
      <w:r>
        <w:t xml:space="preserve">The institute shall incorporate the comments into the report required by Section 3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institute shall submit to the governor, the lieutenant governor, and the legislature a written report of the findings of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DATE.  This Act expires May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