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88R14420 DRS-D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3843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and report by the Texas Department of Transportation regarding toll project entities.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DEFINITIONS.  In this Act: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"Department" means the Texas Department of Transportation.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"Toll project" has the meaning assigned by Section 201.001(b), Transportation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"Toll project entity" means an entity that operates a toll project,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under Chapter 228, Transportation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regional tollway authority under Chapter 366, Transportation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regional mobility authority under Chapter 370, Transportation Code;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county under Chapter 284, Transportation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STUDY.  (a)  The department shall conduct a study comparing the practices and operations of toll project entities statewide.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study must include a comparison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toll operations;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error rates;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customer complaints;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speed of processing;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billing practices;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any other factors the department deems appropriate.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REPORT.  Not later than December 1, 2024, the department shall submit to the governor, the lieutenant governor, and the legislature a written report of the findings of the study.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EXPIRATION DATE.  This Act expires May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EFFECTIVE DATE.</w:t>
      </w:r>
      <w:r>
        <w:t xml:space="preserve"> </w:t>
      </w:r>
      <w:r>
        <w:t xml:space="preserve"> 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