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2023S0203-1  02/23/23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3851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academic boycotts at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61.09093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61.09093.</w:t>
      </w:r>
      <w:r>
        <w:rPr>
          <w:u w:val="single"/>
        </w:rPr>
        <w:t xml:space="preserve"> </w:t>
      </w:r>
      <w:r>
        <w:rPr>
          <w:u w:val="single"/>
        </w:rPr>
        <w:t xml:space="preserve"> </w:t>
      </w:r>
      <w:r>
        <w:rPr>
          <w:u w:val="single"/>
        </w:rPr>
        <w:t xml:space="preserve">ACADEMIC BOYCOTTS.  (a)  The board shall adopt rules and policies to be followed by the governing boards of institutions of higher education prohibiting academic boycotts that would deprive students or faculty members of the ability to study or conduct research in or about a foreign country or to interact with its scholars or representatives.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shall allow the support of an academic boycott if the target is a foreign country that is a state sponsor of terrorism, as defined by the United States Department of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