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w:t xml:space="preserve"> (Senate Sponsor</w:t>
      </w:r>
      <w:r xml:space="preserve">
        <w:t> </w:t>
      </w:r>
      <w:r>
        <w:t xml:space="preserve">-</w:t>
      </w:r>
      <w:r xml:space="preserve">
        <w:t> </w:t>
      </w:r>
      <w:r>
        <w:t xml:space="preserve">Springer)</w:t>
      </w:r>
      <w:r xml:space="preserve">
        <w:tab wTab="150" tlc="none" cTlc="0"/>
      </w:r>
      <w:r>
        <w:t xml:space="preserve">H.B.</w:t>
      </w:r>
      <w:r xml:space="preserve">
        <w:t> </w:t>
      </w:r>
      <w:r>
        <w:t xml:space="preserve">No.</w:t>
      </w:r>
      <w:r xml:space="preserve">
        <w:t> </w:t>
      </w:r>
      <w:r>
        <w:t xml:space="preserve">3860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9,</w:t>
      </w:r>
      <w:r xml:space="preserve">
        <w:t> </w:t>
      </w:r>
      <w:r>
        <w:t xml:space="preserve">2023, read first time and referred to Committee on Local Government;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liability of county tax assessor-collectors for certain acts of deputies.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520, Transportation Code, is amended by adding Section 520.0072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520.0072.</w:t>
      </w:r>
      <w:r>
        <w:rPr>
          <w:u w:val="single"/>
        </w:rPr>
        <w:t xml:space="preserve"> </w:t>
      </w:r>
      <w:r>
        <w:rPr>
          <w:u w:val="single"/>
        </w:rPr>
        <w:t xml:space="preserve"> </w:t>
      </w:r>
      <w:r>
        <w:rPr>
          <w:u w:val="single"/>
        </w:rPr>
        <w:t xml:space="preserve">LIABILITY OF COUNTY TAX ASSESSOR-COLLECTOR FOR CERTAIN ACTS OF DEPUTIES.  Notwithstanding any other law, a county tax assessor-collector may not be held liable for an offense or damages arising from the misuse of license plates or other fraudulent activity related to vehicle registration and titling by an individual or business entity deputized by the county tax assessor-collector to perform titling services in accordance with rules adopted under Section 520.0071(a).</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change in law made by this Act applies only to a cause of action that accrues on or after the effective date of this Act. A cause of action that accrues before the effective date of this Act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