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88R11348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3864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for and transfer of a charter for an adult high school charter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12.255, Education Code, is amended by adding Subsections (b-1) and (f) and amending Subsections (d) and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charter granted under former Section 29.259 may be transferred by the charter holder to a nonprofit entity described by Section 12.256 if the commissioner is provided notice of the transfer.</w:t>
      </w:r>
    </w:p>
    <w:p w:rsidR="003F3435" w:rsidRDefault="0032493E">
      <w:pPr>
        <w:spacing w:line="480" w:lineRule="auto"/>
        <w:ind w:firstLine="720"/>
        <w:jc w:val="both"/>
      </w:pPr>
      <w:r>
        <w:t xml:space="preserve">(d)</w:t>
      </w:r>
      <w:r xml:space="preserve">
        <w:t> </w:t>
      </w:r>
      <w:r xml:space="preserve">
        <w:t> </w:t>
      </w:r>
      <w:r>
        <w:t xml:space="preserve">A charter granted under former Section 29.259 </w:t>
      </w:r>
      <w:r>
        <w:rPr>
          <w:u w:val="single"/>
        </w:rPr>
        <w:t xml:space="preserve">or transferred by the charter holder to a nonprofit entity under Subsection (b-1)</w:t>
      </w:r>
      <w:r>
        <w:t xml:space="preserve"> may not be counted toward the limit under Subsection (c).</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(f), a</w:t>
      </w:r>
      <w:r>
        <w:t xml:space="preserve"> [</w:t>
      </w:r>
      <w:r>
        <w:rPr>
          <w:strike/>
        </w:rPr>
        <w:t xml:space="preserve">A</w:t>
      </w:r>
      <w:r>
        <w:t xml:space="preserve">] nonprofit entity granted a charter under the program may not enroll more than 350 students in an adult education program operated under that charter during the first two years after the charter is granted.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(e)</w:t>
      </w:r>
      <w:r>
        <w:t xml:space="preserve"> [</w:t>
      </w:r>
      <w:r>
        <w:rPr>
          <w:strike/>
        </w:rPr>
        <w:t xml:space="preserve">This subsection</w:t>
      </w:r>
      <w:r>
        <w:t xml:space="preserve">]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charter granted under former Section 29.259</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w:t>
      </w:r>
      <w:r>
        <w:rPr>
          <w:strike/>
        </w:rPr>
        <w:t xml:space="preserve">, regardless of whether that</w:t>
      </w:r>
      <w:r>
        <w:t xml:space="preserve">] charter [</w:t>
      </w:r>
      <w:r>
        <w:rPr>
          <w:strike/>
        </w:rPr>
        <w:t xml:space="preserve">is</w:t>
      </w:r>
      <w:r>
        <w:t xml:space="preserve">] transferred </w:t>
      </w:r>
      <w:r>
        <w:rPr>
          <w:u w:val="single"/>
        </w:rPr>
        <w:t xml:space="preserve">under Subsection (b-1);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charter granted under Subsection (c) to a nonprofit entity that operates an open-enrollment charter school designated as a dropout recovery school under Section 39.0548 that has graduated not less than 1,000 students in each of the three school years preceding the school year in which the nonprofit entity begins operating an adult education program</w:t>
      </w:r>
      <w:r>
        <w:t xml:space="preserve"> [</w:t>
      </w:r>
      <w:r>
        <w:rPr>
          <w:strike/>
        </w:rPr>
        <w:t xml:space="preserve">to another nonprofit entity as provided by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