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88R17128 JCG-F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Lambert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3865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3865: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Capriglione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3865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purchase of certain goods and services by the Employees Retirement System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815.103, Government Code, is amended by adding Subsection (h)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(h)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Notwithstanding any other law, the retirement system has exclusive authority over all aspects of the purchase of goods and services, if the purchase is: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made using money other than money appropriated from the general revenue fund;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related to the operation of home office facilities used in administering the system, including a purchase related to the administration of tenant leases in the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3865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