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88R1237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Anderson</w:t>
      </w:r>
      <w:r xml:space="preserve">
        <w:tab wTab="150" tlc="none" cTlc="0"/>
      </w:r>
      <w:r>
        <w:t xml:space="preserve">H.B.</w:t>
      </w:r>
      <w:r xml:space="preserve">
        <w:t> </w:t>
      </w:r>
      <w:r>
        <w:t xml:space="preserve">No.</w:t>
      </w:r>
      <w:r xml:space="preserve">
        <w:t> </w:t>
      </w:r>
      <w:r>
        <w:t xml:space="preserve">3870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acquired for high-speed rail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112, Transportation Code, is amended by adding Section 112.063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112.063.</w:t>
      </w:r>
      <w:r>
        <w:rPr>
          <w:u w:val="single"/>
        </w:rPr>
        <w:t xml:space="preserve"> </w:t>
      </w:r>
      <w:r>
        <w:rPr>
          <w:u w:val="single"/>
        </w:rPr>
        <w:t xml:space="preserve"> </w:t>
      </w:r>
      <w:r>
        <w:rPr>
          <w:u w:val="single"/>
        </w:rPr>
        <w:t xml:space="preserve">DISPOSITION OF REAL PROPERTY ACQUIRED FOR HIGH-SPEED RAIL PROJECT.  (a) </w:t>
      </w:r>
      <w:r>
        <w:rPr>
          <w:u w:val="single"/>
        </w:rPr>
        <w:t xml:space="preserve"> </w:t>
      </w:r>
      <w:r>
        <w:rPr>
          <w:u w:val="single"/>
        </w:rPr>
        <w:t xml:space="preserve">In this section, "high-speed rail" has the meaning assigned by Section 112.201.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a private entity that operates or plans to operate a high-speed rail project, represents itself as having the power of eminent domain, and acquires real property for a high-speed rail project may not use the property for any purpose other than a high-speed rail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a person from whom real property is acquired by a private entity as described by Subsection (b), and the person's heirs, successors, and assigns, are entitled to notice and opportunity to repurchase the property before all other purchasers for the price paid to the owner by the entity at the time the entity acquired the property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high-speed rail project for which the property was acquired is canceled before the property is used for that project;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is not used for the high-speed rail project for which the property was acquired before the 10th anniversary of the date of acquisition;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property becomes unnecessary for the high-speed rail project for which the property was acquired before the 10th anniversary of the date of acquisition.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Subsections (b) and (c) do not apply to real property acquired by a private entity as described by Subsection (b) that is not acquired through a condemnation proceeding under Chapter 21, Property Code, if, before the acquisition of the property: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entity acquiring the property gives written notice to the person from whom the property is to be acquired that the property may be used for a purpose other than a high-speed rail project;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from whom the property is to be acquired signs a statement acknowledging that written notice was given under Subdivision (1).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affect: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rights of a person from whom real property is acquired under Chapter 21, Property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statutory right of an entity with the power of eminent domain.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Notice and repurchase as required by Subsection (c) shall follow the timelines and processes for notice and repurchase in Chapter 21, Property Code.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applies to a private entity that represents itself: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 a railroad, whether or not the entity is a railroad;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another entity that may exercise the power of eminent domain.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112.063, Transportation Code, as added by this Act, applies only to the disposition of real property acquired on or after the effective date of this Act. </w:t>
      </w:r>
      <w:r>
        <w:t xml:space="preserve"> </w:t>
      </w:r>
      <w:r>
        <w:t xml:space="preserve">The disposition of real property acquired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3870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