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88R13441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3882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defendant to participate in a veterans treatment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establish a veterans treatment court program for persons arrested for, charged with, convicted of, or placed on deferred adjudication community supervision for any misdemeanor or felony offense. A defendant is eligible to participate in a veterans treatment court program established under this chapter only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attorney representing the state consents to the defendant's participation in the program</w:t>
      </w:r>
      <w:r>
        <w:rPr>
          <w:u w:val="single"/>
        </w:rPr>
        <w:t xml:space="preserve">, subject to Subsection (a-1);</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w:t>
      </w:r>
      <w:r>
        <w:t xml:space="preserve">] the court in which the criminal case is pending or in which the defendant was convicted or placed on deferred adjudication community supervision, as applicable, finds that the defendant is a veteran or current member of the United States armed forces, including a member of the reserves, national guard, or state guard, who: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suffers from a brain injury, mental illness, or mental disorder, including post-traumatic stress disorder, or was a victim of military sexual trauma if the injury, illness, disorder, or trauma:</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occurred during or resulted from the defendant's military service;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affected the defendant's criminal conduct at issue in the case;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a defendant whose participation in a veterans treatment court program, considering the circumstances of the defendant's conduct, personal and social background, and criminal history, is likely to achieve the objective of ensuring public safety through rehabilitation of the veteran in the manner provided by Section 1.02(1), Penal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an attorney representing the state does not consent to a defendant's participation in a veterans treatment court program under Subsection (a)(1), the defendant may file a motion requesting the court in which the criminal case is pending or in which the defendant was convicted or placed on deferred adjudication community supervision, as applicable, to review the decision of the attorney representing the state. If the court finds that the defendant otherwise meets the eligibility requirements described by Subsection (a)(2), the court may allow the defendant to participate in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case that is pending on or commences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