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88R23128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w:t>
      </w:r>
      <w:r xml:space="preserve">
        <w:tab wTab="150" tlc="none" cTlc="0"/>
      </w:r>
      <w:r>
        <w:t xml:space="preserve">H.B.</w:t>
      </w:r>
      <w:r xml:space="preserve">
        <w:t> </w:t>
      </w:r>
      <w:r>
        <w:t xml:space="preserve">No.</w:t>
      </w:r>
      <w:r xml:space="preserve">
        <w:t> </w:t>
      </w:r>
      <w:r>
        <w:t xml:space="preserve">3886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participants in the state employees group benefits program for certain federal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1551, Insurance Code, is amended by adding Section 1551.069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1551.069.</w:t>
      </w:r>
      <w:r>
        <w:rPr>
          <w:u w:val="single"/>
        </w:rPr>
        <w:t xml:space="preserve"> </w:t>
      </w:r>
      <w:r>
        <w:rPr>
          <w:u w:val="single"/>
        </w:rPr>
        <w:t xml:space="preserve"> </w:t>
      </w:r>
      <w:r>
        <w:rPr>
          <w:u w:val="single"/>
        </w:rPr>
        <w:t xml:space="preserve">REVIEW OF ELIGIBILITY FOR CERTAIN BENEFITS.  (a) </w:t>
      </w:r>
      <w:r>
        <w:rPr>
          <w:u w:val="single"/>
        </w:rPr>
        <w:t xml:space="preserve"> </w:t>
      </w:r>
      <w:r>
        <w:rPr>
          <w:u w:val="single"/>
        </w:rPr>
        <w:t xml:space="preserve">The board of trustees shall establish a program to continuously: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each basic coverage plan established under Section 1551.202 to determine whether each participant or covered dependent is eligible to continue receiving basic health coverage provided by that plan as the individual's primary coverage under Section 1551.231;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each participant or covered dependent who is eligible to enroll in Medicare hospital and medical insurance or Social Security Disability Insurance (SSDI) benefits under 42 U.S.C. Section 401 et seq.;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each individual identified under Subdivision (2) is properly enrolled in Medicare hospital and medical insurance or Social Security Disability Insurance (SSDI) benefits under 42 U.S.C. Section 401 et seq.,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may, using a competitive bidding process, contract with a third party to implement the program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1551, Insurance Code, is amended by adding Section 1551.231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1551.231.</w:t>
      </w:r>
      <w:r>
        <w:rPr>
          <w:u w:val="single"/>
        </w:rPr>
        <w:t xml:space="preserve"> </w:t>
      </w:r>
      <w:r>
        <w:rPr>
          <w:u w:val="single"/>
        </w:rPr>
        <w:t xml:space="preserve"> </w:t>
      </w:r>
      <w:r>
        <w:rPr>
          <w:u w:val="single"/>
        </w:rPr>
        <w:t xml:space="preserve">GROUP COVERAGE PLAN SECONDARY TO CERTAIN OTHER COVERAGE.  The basic health coverage provided by a basic coverage plan established under Section 1551.202 is secondary to Medicare hospital and medical insurance to the extent permitted by federal law for a participant or covered dependent who is entitled to receive Medicare hospital insurance benefits without charge.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plan year that commences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