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88R23128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3886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3886: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3886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participants in the state employees group benefits program for certain federal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1551, Insurance Code, is amended by adding Section 1551.069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1551.069.</w:t>
      </w:r>
      <w:r>
        <w:rPr>
          <w:u w:val="single"/>
        </w:rPr>
        <w:t xml:space="preserve"> </w:t>
      </w:r>
      <w:r>
        <w:rPr>
          <w:u w:val="single"/>
        </w:rPr>
        <w:t xml:space="preserve"> </w:t>
      </w:r>
      <w:r>
        <w:rPr>
          <w:u w:val="single"/>
        </w:rPr>
        <w:t xml:space="preserve">REVIEW OF ELIGIBILITY FOR CERTAIN BENEFITS.  (a) </w:t>
      </w:r>
      <w:r>
        <w:rPr>
          <w:u w:val="single"/>
        </w:rPr>
        <w:t xml:space="preserve"> </w:t>
      </w:r>
      <w:r>
        <w:rPr>
          <w:u w:val="single"/>
        </w:rPr>
        <w:t xml:space="preserve">The board of trustees shall establish a program to continuously: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basic coverage plan established under Section 1551.202 to determine whether each participant or covered dependent is eligible to continue receiving basic health coverage provided by that plan as the individual's primary coverage under Section 1551.231;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each participant or covered dependent who is eligible to enroll in Medicare hospital and medical insurance or Social Security Disability Insurance (SSDI) benefits under 42 U.S.C. Section 401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each individual identified under Subdivision (2) is properly enrolled in Medicare hospital and medical insurance or Social Security Disability Insurance (SSDI) benefits under 42 U.S.C. Section 401 et seq.,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using a competitive bidding process, contract with a third party to implement the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GROUP COVERAGE PLAN SECONDARY TO CERTAIN OTHER COVERAGE.  The basic health coverage provided by a basic coverage plan established under Section 1551.202 is secondary to Medicare hospital and medical insurance to the extent permitted by federal law for a participant or covered dependent who is entitled to receive Medicare hospital insurance benefits without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plan year that commences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