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88R4449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and posting of the maximum loads permitted on certain bridges.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201.8035, Transportation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post a notice required under Subsection (b) for a bridge under the jurisdiction of a county or a municipality if the department is required or authorized under federal law to post the notice.  The notice must be posted in accordance with federal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