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88R9080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w:t>
      </w:r>
      <w:r xml:space="preserve">
        <w:tab wTab="150" tlc="none" cTlc="0"/>
      </w:r>
      <w:r>
        <w:t xml:space="preserve">H.B.</w:t>
      </w:r>
      <w:r xml:space="preserve">
        <w:t> </w:t>
      </w:r>
      <w:r>
        <w:t xml:space="preserve">No.</w:t>
      </w:r>
      <w:r xml:space="preserve">
        <w:t> </w:t>
      </w:r>
      <w:r>
        <w:t xml:space="preserve">3898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a pilot program to employ a life skills counselor and establish a life skills circle to assess certain student behavior at public high school campuses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33, Education Code, is amended by adding Section 33.010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33.010.</w:t>
      </w:r>
      <w:r>
        <w:rPr>
          <w:u w:val="single"/>
        </w:rPr>
        <w:t xml:space="preserve"> </w:t>
      </w:r>
      <w:r>
        <w:rPr>
          <w:u w:val="single"/>
        </w:rPr>
        <w:t xml:space="preserve"> </w:t>
      </w:r>
      <w:r>
        <w:rPr>
          <w:u w:val="single"/>
        </w:rPr>
        <w:t xml:space="preserve">LIFE SKILLS COUNSELOR PILOT PROGRAM.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"Crime of violence" has the meaning assigned by Article 59.01, Code of Criminal Procedure.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"Pilot program" means the life skills counselor pilot program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county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adjacent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two counties that border the Gulf of Mexico;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two counties that are located on the international border;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located within 50 miles of a county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establish a life skills counselor pilot program at each high school campus located in a county subject to this section as a strategy for addressing emotional and mental health concerns of students.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located in a county subject to this section shall employ for each district high school campus located in the county a school counselor certified under Subchapter B, Chapter 21, to serve as a life skills counselor under the pilot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life skills counselor employed to serve at a high school campus under this section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collaborate with school district administrators, school counselors, social workers, other appropriately credentialed mental health professionals, and local law enforcement agencies to address mental health concerns affecting students at the high school campus;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instruction to students enrolled at the high school campus relating to skills and techniques to cope with anxiety, frustration, and other emotions;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counsel any students enrolled at the high school campus who have committed a crime of violence or are identified as having a mental health condition;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a voluntary counseling program for students enrolled at the high school campus;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establish a life skills circle described by Subsection (f) to assess certain student behavior and make a recommendation regarding the appropriate disciplinary action a school should take in response to that student behavior.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life skills counselor shall establish a life skills circle to assess a student's behavior if an incident involving the student occurs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violates school policy;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the involvement of law enforcement;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involves violence or drugs.</w:t>
      </w:r>
      <w:r>
        <w:t xml:space="preserve"> </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life skills circle established under Subsection (f) must include the life skills counselor and students enrolled at the high school campus.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During a life skills circle, the life skills counselor shall facilitate open discussion between participating students regarding the relevant incident, including allowing students to ask questions, speak to witnesses, and review evidence.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Based on discussion during a life skills circle, the life skills counselor and participating students shall make a recommendation regarding the appropriate disciplinary action the school should take against the student whose behavior is being assessed and submit the recommendation to the school administrator designated by the school district.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recommendation under Subsection (i)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restricting the student's participation in certain extracurricular activities;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requiring the student to perform community service;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combination of the actions described by Subdivisions (1) and (2).</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If the life skills counselor and participating students find that the student did not violate school policy, the counselor and students shall submit a letter to the designated school administrator stating the finding.</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school district shall consider the life skills circle's recommendation when determining the disciplinary action to take against the student.</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 school district located in a county subject to this section may solicit and accept a gift, grant, or donation from any source, including a foundation, private entity, governmental entity, or institution of higher education to implement or administer the pilot program.</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Not later than January 1, 2029, the commissioner shall review the pilot program established under this section and submit to the governor, the lieutenant governor, the speaker of the house of representatives, and the presiding officer of each legislative standing committee with primary jurisdiction over primary and secondary education a written report regarding the progress made by the pilot program in addressing emotional and mental health concerns of students.</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The commissioner shall adopt rules necessary to administer the pilot program.</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This section expires September 1, 2029.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 later than December 1, 2023, the commissioner of education shall adopt rules necessary to implement and administer the life skills counselor pilot program established under Section 33.010, Education Code, as added by this Act.</w:t>
      </w:r>
    </w:p>
    <w:p w:rsidR="003F3435" w:rsidRDefault="0032493E">
      <w:pPr>
        <w:spacing w:line="480" w:lineRule="auto"/>
        <w:ind w:firstLine="720"/>
        <w:jc w:val="both"/>
      </w:pPr>
      <w:r>
        <w:t xml:space="preserve">(b)</w:t>
      </w:r>
      <w:r xml:space="preserve">
        <w:t> </w:t>
      </w:r>
      <w:r xml:space="preserve">
        <w:t> </w:t>
      </w:r>
      <w:r>
        <w:t xml:space="preserve">The life skills counselor pilot program established under Section 33.010, Education Code, as added by this Act, shall be implemented in each public high school located in a county subject to that section beginning with the 2024-2025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