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88R11383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3907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reduction of the amount by which certain districts with high enrollment of educationally disadvantaged students must reduce the districts' local revenue levels in excess of entitlement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48.257, Education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except as provided by Subsection (b-1)</w:t>
      </w:r>
      <w:r>
        <w:t xml:space="preserve">, if a school district's tier one local share under Section 48.256 exceeds the district's entitlement under Section 48.266(a)(1) less the district's distribution from the state available school fund, the district must reduce the district's tier one revenue level in accordance with Chapter 49 to a level not to exceed the district's entitlement under Section 48.266(a)(1) less the district's distribution from the state available school fund.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for a school district located in a county with a population of less than 150,000 to which Subsection (a) applies and in which more than 50 percent of the students are educationally disadvantaged, the agency shall adjust the amount of the reduction required in the district's tier one revenue level under Subsection (a) by 50 percent.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