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88R25003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fentanyl abuse prevention and drug poisoning awareness education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may be cited as Tucker's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WEEK.  (a) </w:t>
      </w:r>
      <w:r>
        <w:rPr>
          <w:u w:val="single"/>
        </w:rPr>
        <w:t xml:space="preserve"> </w:t>
      </w:r>
      <w:r>
        <w:rPr>
          <w:u w:val="single"/>
        </w:rPr>
        <w:t xml:space="preserve">To educate students about the dangers posed by the drug fentanyl and the risks of fentanyl poisoning, including overdose, the governor shall designate a week to be known as Fentanyl Poisoning Awareness Week in public schools.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 may include age-appropriate instruction, including instruction on the prevention of the abuse of and addiction to fentanyl, as determined by each school district.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38.040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38.040.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ABUSE PREVENTION AND DRUG POISONING  AWARENESS EDUCATION.  (a)  Each school district shall annually provide research-based instruction related to fentanyl abuse prevention and drug poisoning awareness to students in grades 6 through 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school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youth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by an entity or an employee or agent of an entity that is: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or private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38.351, Education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satisfy a requirement to implement a program in the area of substance abuse prevention and intervention by providing instruction related to youth substance use and abuse education under Section 38.040.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