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88R14445 GCB-F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fentanyl prevention and drug poisoning awareness education for public school students in grades 6 through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38.040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38.040.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PREVENTION AND DRUG POISONING  AWARENESS EDUCATION.  (a)  Each school district shall annually provide not fewer than 10 hours of research-based instruction related to fentanyl prevention and drug poisoning awareness to students in grades 6 through 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recognition of signs and symptoms of mental health issues;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prevention of the abuse of and addiction to fentanyl;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awareness of local school and community resources and any processes involved in accessing those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education that includes information about substance use and abuse, including youth substance use and abuse.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may be provided by an entity or an employee or agent of an entity that is: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or private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 service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religious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public health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employing mental health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38.351, Education Code, is amended by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satisfy a requirement to implement a program in the area of substance abuse prevention and intervention by providing instruction related to youth substance use and abuse education under Section 38.040.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