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88R14164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3912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health benefit plan cost-sharing requirements for prescription insulin.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1358.101(a) and (c),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885;</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(5)</w:t>
      </w:r>
      <w:r xml:space="preserve">
        <w:t> </w:t>
      </w:r>
      <w:r xml:space="preserve">
        <w:t> </w:t>
      </w:r>
      <w:r>
        <w:t xml:space="preserve">a reciprocal exchange operating under Chapter 942;</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843;</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846;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844</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Lloyd's plan operating under Chapter 941</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provision in Chapter 1551, 1575, 1579, or 1601 or any other law, this subchapter applies to:</w:t>
      </w:r>
    </w:p>
    <w:p w:rsidR="003F3435" w:rsidRDefault="0032493E">
      <w:pPr>
        <w:spacing w:line="480" w:lineRule="auto"/>
        <w:ind w:firstLine="1440"/>
        <w:jc w:val="both"/>
      </w:pPr>
      <w:r>
        <w:t xml:space="preserve">(1)</w:t>
      </w:r>
      <w:r xml:space="preserve">
        <w:t> </w:t>
      </w:r>
      <w:r xml:space="preserve">
        <w:t>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xml:space="preserve">
        <w:t> </w:t>
      </w:r>
      <w:r xml:space="preserve">
        <w:t> </w:t>
      </w:r>
      <w:r>
        <w:t xml:space="preserve">a basic coverage plan under Chapter 1551;</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a basic plan under Chapter 1575;</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a primary care coverage plan under Chapter 1579; [</w:t>
      </w:r>
      <w:r>
        <w:rPr>
          <w:strike/>
        </w:rPr>
        <w:t xml:space="preserve">and</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basic coverage under Chapter 1601</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 </w:t>
      </w:r>
      <w:r>
        <w:t xml:space="preserve"> </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1358.102, Insurance Code, is amended to read as follows:</w:t>
      </w:r>
    </w:p>
    <w:p w:rsidR="003F3435" w:rsidRDefault="0032493E">
      <w:pPr>
        <w:spacing w:line="480" w:lineRule="auto"/>
        <w:ind w:firstLine="720"/>
        <w:jc w:val="both"/>
      </w:pPr>
      <w:r>
        <w:t xml:space="preserve">Sec.</w:t>
      </w:r>
      <w:r xml:space="preserve">
        <w:t> </w:t>
      </w:r>
      <w:r>
        <w:t xml:space="preserve">1358.102.</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(4)</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1358.101; </w:t>
      </w:r>
      <w:r>
        <w:rPr>
          <w:u w:val="single"/>
        </w:rPr>
        <w:t xml:space="preserve">or</w:t>
      </w:r>
    </w:p>
    <w:p w:rsidR="003F3435" w:rsidRDefault="0032493E">
      <w:pPr>
        <w:spacing w:line="480" w:lineRule="auto"/>
        <w:ind w:firstLine="1440"/>
        <w:jc w:val="both"/>
      </w:pPr>
      <w:r>
        <w:t xml:space="preserve">(5)</w:t>
      </w:r>
      <w:r xml:space="preserve">
        <w:t> </w:t>
      </w:r>
      <w:r xml:space="preserve">
        <w:t> </w:t>
      </w:r>
      <w:r>
        <w:t xml:space="preserve">[</w:t>
      </w:r>
      <w:r>
        <w:rPr>
          <w:strike/>
        </w:rPr>
        <w:t xml:space="preserve">health and accident coverage provided by a risk pool created under Chapter 172, Local Government Code; or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a workers' compensation insurance policy.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benefit plan that is delivered, issued for delivery, or renewed on or after January 1, 2024. </w:t>
      </w:r>
      <w:r>
        <w:t xml:space="preserve"> </w:t>
      </w:r>
      <w:r>
        <w:t xml:space="preserve">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