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88R7547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Raney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services provided by freestanding emergency medical care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254.001(1) and (5), Health and Safety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"Acute care services" means outpatient medical services, including radiology services, laboratory services, immunization services, and other non-emergent physician services</w:t>
      </w:r>
      <w:r>
        <w:t xml:space="preserve"> </w:t>
      </w:r>
      <w:r>
        <w:t xml:space="preserve">[</w:t>
      </w:r>
      <w:r>
        <w:rPr>
          <w:strike/>
        </w:rPr>
        <w:t xml:space="preserve">"Department" means the Department of State Health Services</w:t>
      </w:r>
      <w:r>
        <w:t xml:space="preserve">].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"Freestanding emergency medical care facility" means a facility, structurally separate and distinct from a hospital, that receives an individual and provides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emergency care, as defined by Subdivision (2)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acute care services, as defined by Subdivision (1)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254, Health and Safety Code, is amended by adding Section 254.002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REFERENCE IN LAW.  A reference in this chapter to "department" means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254.1555, Health and Safety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 that provides acute care services may not charge an emergency facility fee for providing the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