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88R11715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3916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of certain durable medical equipment providers participating in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the requirements specified by Subsection (a) and notwithstanding any other law, a contract described by that subsection must require the managed care organization to reimburse a specialty provider of durable medical equipment and related supplies and services who provides the equipment, supplies, or services to a recipient at a rate that is at least equal to 95 percent of the rate paid under the Medicaid fee-for-service fee schedule.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533.005(i),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533.005(i), Government Code, as added by this Act.  To the extent of a conflict between Section 533.005(i),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