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88R6580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entities contracted with the Department of Family and Protective Services to provide community-based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264.170, Family Code, is amended to read as follows:</w:t>
      </w:r>
    </w:p>
    <w:p w:rsidR="003F3435" w:rsidRDefault="0032493E">
      <w:pPr>
        <w:spacing w:line="480" w:lineRule="auto"/>
        <w:ind w:firstLine="720"/>
        <w:jc w:val="both"/>
      </w:pPr>
      <w:r>
        <w:t xml:space="preserve">Sec.</w:t>
      </w:r>
      <w:r xml:space="preserve">
        <w:t> </w:t>
      </w:r>
      <w:r>
        <w:t xml:space="preserve">264.170.</w:t>
      </w:r>
      <w:r xml:space="preserve">
        <w:t> </w:t>
      </w:r>
      <w:r xml:space="preserve">
        <w:t> </w:t>
      </w:r>
      <w:r>
        <w:t xml:space="preserve">LIMITED LIABILITY FOR SINGLE SOURCE CONTINUUM CONTRACTOR </w:t>
      </w:r>
      <w:r>
        <w:rPr>
          <w:u w:val="single"/>
        </w:rPr>
        <w:t xml:space="preserve">OR OTHER ENTITY CONTRACTED TO PROVIDE COMMUNITY-BASED CARE</w:t>
      </w:r>
      <w:r>
        <w:t xml:space="preserve"> AND RELATED PERSONNEL.  (a)  A nonprofit entity that contracts with the department </w:t>
      </w:r>
      <w:r>
        <w:rPr>
          <w:u w:val="single"/>
        </w:rPr>
        <w:t xml:space="preserve">to provide community-based care or</w:t>
      </w:r>
      <w:r>
        <w:t xml:space="preserve"> to provide </w:t>
      </w:r>
      <w:r>
        <w:rPr>
          <w:u w:val="single"/>
        </w:rPr>
        <w:t xml:space="preserve">community-based care</w:t>
      </w:r>
      <w:r>
        <w:t xml:space="preserve"> services as a single source continuum contractor under this subchapter is considered to be a charitable organization for the purposes of Chapter 84, Civil Practice and Remedies Code, with respect to the provision of those services, and that chapter applies to the entity and any person who is an employee or volunteer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while the entity or person is acting within the course and scope of the entity's contract with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while the person is acting within the course and scope of</w:t>
      </w:r>
      <w:r>
        <w:t xml:space="preserve"> [</w:t>
      </w:r>
      <w:r>
        <w:rPr>
          <w:strike/>
        </w:rPr>
        <w:t xml:space="preserve">and</w:t>
      </w:r>
      <w:r>
        <w:t xml:space="preserve">]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84, Civil Practice and Remedies Code, is in force and effect at the time a cause of action for personal injury, death, or property damage accrues.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or person described by Subsection (a) may not be held liable for damages in excess of the amounts provided by Section 84.006, Civil Practice and Remedies Code, for a claim of negligence in the supervision or treatment of a child in the entity's custody or control unless the claimant establishes by clear and convincing evidence that the entity or person failed to comply with laws or rules regarding the supervision or treatment of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or person described by Subsection (a) may not be held liable for damages in excess of the amounts provided by Section 84.006, Civil Practice and Remedies Code, for a claim of negligence in the hiring, training, supervision, or retention of an employee or volunteer unless the claimant establishes by clear and convincing evidence that the entity or person failed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entity's contract with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laws or rules applicable to child-care facilities, as defined by Section 42.002, Human Resources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entity described by Subsection (a) may not be held liable under a theory of vicarious liability for damages in excess of the amounts provided by Section 84.006, Civil Practice and Remedies Code, if the claim is based on an employee's or a volunteer's conduct that is intentional or done with conscious indifference or reckless disregard for the safety of others.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264.170, Family Code, as amended by this Act, applies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