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3935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governor's authority during the recovery period following a state of disaster declaration.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During a state of disaster [</w:t>
      </w:r>
      <w:r>
        <w:rPr>
          <w:strike/>
        </w:rPr>
        <w:t xml:space="preserve">and the following recovery period</w:t>
      </w:r>
      <w:r>
        <w:t xml:space="preserve">], the governor is the commander in chief of state agencies, boards, and commissions having emergency responsibilities. To the greatest extent possible, the governor shall delegate or assign command authority by prior arrangement embodied in appropriate executive orders or plans, but this chapter does not restrict the governor's authority to do so by orders issued at the time of the disaster.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