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88R5774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of Dallas</w:t>
      </w:r>
      <w:r xml:space="preserve">
        <w:tab wTab="150" tlc="none" cTlc="0"/>
      </w:r>
      <w:r>
        <w:t xml:space="preserve">H.B.</w:t>
      </w:r>
      <w:r xml:space="preserve">
        <w:t> </w:t>
      </w:r>
      <w:r>
        <w:t xml:space="preserve">No.</w:t>
      </w:r>
      <w:r xml:space="preserve">
        <w:t> </w:t>
      </w:r>
      <w:r>
        <w:t xml:space="preserve">3937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criminal justice system sentencing database established by the Office of Court Administration of the Texas Judicial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72, Government Code, is amended by adding Subchapter H to read as follows:</w:t>
      </w:r>
    </w:p>
    <w:p w:rsidR="003F3435" w:rsidRDefault="0032493E">
      <w:pPr>
        <w:spacing w:line="480" w:lineRule="auto"/>
        <w:jc w:val="center"/>
      </w:pPr>
      <w:r>
        <w:rPr>
          <w:u w:val="single"/>
        </w:rPr>
        <w:t xml:space="preserve">SUBCHAPTER H. CRIMINAL JUSTICE SYSTEM SENTENCING DATABASE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72.201.</w:t>
      </w:r>
      <w:r>
        <w:rPr>
          <w:u w:val="single"/>
        </w:rPr>
        <w:t xml:space="preserve"> </w:t>
      </w:r>
      <w:r>
        <w:rPr>
          <w:u w:val="single"/>
        </w:rPr>
        <w:t xml:space="preserve"> </w:t>
      </w:r>
      <w:r>
        <w:rPr>
          <w:u w:val="single"/>
        </w:rPr>
        <w:t xml:space="preserve">DEFINITION.  In this subchapter, "database" means the criminal justice system sentencing database maintained under this subchapter.</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72.202.</w:t>
      </w:r>
      <w:r>
        <w:rPr>
          <w:u w:val="single"/>
        </w:rPr>
        <w:t xml:space="preserve"> </w:t>
      </w:r>
      <w:r>
        <w:rPr>
          <w:u w:val="single"/>
        </w:rPr>
        <w:t xml:space="preserve"> </w:t>
      </w:r>
      <w:r>
        <w:rPr>
          <w:u w:val="single"/>
        </w:rPr>
        <w:t xml:space="preserve">DATABASE.  (a) The office shall create and maintain a database to collect, compile, and analyze data regarding the sentencing of defendants.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shall compile data that includes, with respect to each defendant who has been convicted of a Class B misdemeanor or any higher category of offense: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defendant's age and the zip code of the defendant's primary residence at the time of the alleged offense;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defendant was determined to be indigent at any time during the defendant's criminal case;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defendant's race, ethnicity, and gender;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offenses, including the category of each offense, for which the defendant was sentenced;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provision of law under which the defendant was sentenced;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date on which the offense occurred and the date of the defendant's sentencing for that offense;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length of any term of confinement or imprisonment to which the defendant was sentenced, including any period of probation or community supervision, and if multiple sentences were ordered, whether the sentences were ordered to be served consecutively or concurrently;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amount of each court fee and fine assessed and the amount of any restitution ordered;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each charge brought against the defendant in a single criminal action, including any dismissed, amended, or reduced charges;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any penalty enhancements applied during sentencing;</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amount and type of any bail ordered by the court;</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any credit for time served;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whether the defendant was required to attend a pretrial diversion or treatment program, and if so, which program;</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whether the defendant pleaded guilty, not guilty, or nolo contendere;</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any plea bargain agreement approved or rejected by the court;</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whether punishment was assessed by the jury, and if so, the jury's recommended sentence;</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if the defendant was convicted following trial, whether the trial was a bench or jury trial;</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whether the defendant was represented by a private attorney, a court-appointed private attorney, or a court-appointed public defender or waived the right to representation;</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the category of facility at which the defendant will serve a term of confinement or imprisonment, if applicable; and</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if the offense was a drug offense, the identity and amount of substance for which the defendant was convicted.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Information maintained in the database under this section is not required to be removed from the database following an order of expunction issued with respect to that information.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72.203.</w:t>
      </w:r>
      <w:r>
        <w:rPr>
          <w:u w:val="single"/>
        </w:rPr>
        <w:t xml:space="preserve"> </w:t>
      </w:r>
      <w:r>
        <w:rPr>
          <w:u w:val="single"/>
        </w:rPr>
        <w:t xml:space="preserve"> </w:t>
      </w:r>
      <w:r>
        <w:rPr>
          <w:u w:val="single"/>
        </w:rPr>
        <w:t xml:space="preserve">SUBMISSION OF INFORMATION BY COURTS.  On final disposition of a defendant's case, the clerk of the sentencing court shall submit to the office, within the time period prescribed by the office, a written record of the data required under Section 72.202, with respect to the defendant's case.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72.204.</w:t>
      </w:r>
      <w:r>
        <w:rPr>
          <w:u w:val="single"/>
        </w:rPr>
        <w:t xml:space="preserve"> </w:t>
      </w:r>
      <w:r>
        <w:rPr>
          <w:u w:val="single"/>
        </w:rPr>
        <w:t xml:space="preserve"> </w:t>
      </w:r>
      <w:r>
        <w:rPr>
          <w:u w:val="single"/>
        </w:rPr>
        <w:t xml:space="preserve">PUBLISHED INFORMATION.  (a) The office shall publish deidentified sentencing data from the information in the database on the office's Internet website in a modern, open, electronic format that is machine-readable and readily accessible by the public, free of charge.  The office shall update the information on the Internet website on a monthly basis.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sentencing data must be searchable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data element described by Section 72.202(b);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and circuit in which a court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data published on the office's Internet website may not disclose the name or identifying information of a defendant or any other individual involved in the defendant's sentencing.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72.205.</w:t>
      </w:r>
      <w:r>
        <w:rPr>
          <w:u w:val="single"/>
        </w:rPr>
        <w:t xml:space="preserve"> </w:t>
      </w:r>
      <w:r>
        <w:rPr>
          <w:u w:val="single"/>
        </w:rPr>
        <w:t xml:space="preserve"> </w:t>
      </w:r>
      <w:r>
        <w:rPr>
          <w:u w:val="single"/>
        </w:rPr>
        <w:t xml:space="preserve">REPORT.  Not later than September 1 of each even-numbered year, the office shall submit a report to the governor and the legislature regarding the data compiled in the database.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72.206.</w:t>
      </w:r>
      <w:r>
        <w:rPr>
          <w:u w:val="single"/>
        </w:rPr>
        <w:t xml:space="preserve"> </w:t>
      </w:r>
      <w:r>
        <w:rPr>
          <w:u w:val="single"/>
        </w:rPr>
        <w:t xml:space="preserve"> </w:t>
      </w:r>
      <w:r>
        <w:rPr>
          <w:u w:val="single"/>
        </w:rPr>
        <w:t xml:space="preserve">RULES.  The office may adopt rules as necessary to implement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Office of Court Administration of the Texas Judicial System shall create the database described by Subchapter H, Chapter 72, Government Code, as added by this Act, as soon as practicable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court is not required to submit information to the Office of Court Administration of the Texas Judicial System under Section 72.203, Government Code, as added by this Act, regarding any sentencing that occurred before January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Office of Court Administration of the Texas Judicial System shall begin publishing sentencing data under Section 72.204, Government Code, as added by this Act, on the office's Internet website not later than April 1, 2024.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