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88R13374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and report on transitioning to underground power lines.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Public Utility Commission of Texas.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"Study area" means areas of this state that experienced more than one power outage caused by a failure of overhead power lines during extreme weather events between January 1, 2018, and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FINDINGS.  The legislature finds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underground power lines are more resistant than overhead power lines to extreme weather conditions and reduce the number of weather-related power outages;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cost of burying power lines is significant and requires further analysis.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STUDY.  Using existing funds for research and development, the commission, in consultation with the Texas Division of Emergency Management, shall identify study areas and evaluate for those areas: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cost of burying existing overhead power lines;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cost of maintaining and repairing underground power lines;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potential cost savings associated with reduced power outages;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effect of burying power lines on the environment, such as land use and water quality;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effect of burying power lines on public safety and emergency response.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REPORT.  The commission shall submit a report of the results of the study and any recommendations to the governor, lieutenant governor, and speaker of the house of representatives not later than December 31,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EXPIRATION DATE.  This Act expires January 31,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