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88R14246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w:t>
      </w:r>
      <w:r xml:space="preserve">
        <w:tab wTab="150" tlc="none" cTlc="0"/>
      </w:r>
      <w:r>
        <w:t xml:space="preserve">H.B.</w:t>
      </w:r>
      <w:r xml:space="preserve">
        <w:t> </w:t>
      </w:r>
      <w:r>
        <w:t xml:space="preserve">No.</w:t>
      </w:r>
      <w:r xml:space="preserve">
        <w:t> </w:t>
      </w:r>
      <w:r>
        <w:t xml:space="preserve">3940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paid to sale agents for state lottery ticket sales.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466.358(a),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director and each lottery operator shall determine the compensation to be paid to sales agents for the sale of tickets as provided by this section.  The compensation paid to a sales agent may not be an amount less than </w:t>
      </w:r>
      <w:r>
        <w:rPr>
          <w:u w:val="single"/>
        </w:rPr>
        <w:t xml:space="preserve">10</w:t>
      </w:r>
      <w:r>
        <w:t xml:space="preserve"> [</w:t>
      </w:r>
      <w:r>
        <w:rPr>
          <w:strike/>
        </w:rPr>
        <w:t xml:space="preserve">five</w:t>
      </w:r>
      <w:r>
        <w:t xml:space="preserve">] percent of the retail price of the tickets sold plus, at the discretion of the director or lottery operator supervising the lottery game involved, an incentive bonus based on attainment of sales volume, the redemption of winning tickets, or other objectives specified by the director or lottery operator for each type of lottery.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