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3947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improper taxation of properties in certain areas that do not receive full municipal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43, Local Government Code, is amended by adding Section 43.1415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43.1415.</w:t>
      </w:r>
      <w:r>
        <w:rPr>
          <w:u w:val="single"/>
        </w:rPr>
        <w:t xml:space="preserve"> </w:t>
      </w:r>
      <w:r>
        <w:rPr>
          <w:u w:val="single"/>
        </w:rPr>
        <w:t xml:space="preserve"> </w:t>
      </w:r>
      <w:r>
        <w:rPr>
          <w:u w:val="single"/>
        </w:rPr>
        <w:t xml:space="preserve">TAXATION OF PROPERTIES IN CERTAIN AREAS NOT RECEIVING FULL MUNICIPAL SERVICES.  (a)  In this section, "full municipal services"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police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fire protection, including fire hydrants;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provision of solid waste collection, other than those services that a municipality is not required to provide under Section 43.056(o) to an area, lot, or tract subject to that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operation and maintenance of water and wastewater facilities;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operation and maintenance of roads and streets.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area, lot, or tract for which a Home Rule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currently required to provide full municipal services under a service plan described by Section 43.056;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entered into a regulatory plan or other written agreement to extend the time for providing or waive provision of full municipal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 of Sec. 43.056(l), any area, lot, or tract in which the home-rule municipality is not providing or causing the provision of full municipal services is automatically disannexed.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 home-rule municipality fails or refuses to recognize the disannexation of an area, lot, or tract under this section, a person owning real property wholly or partly located in the area, lot, or tract may bring an action against the municipality to recognize the disannexation of the portion of the property previously located in the municipality.  If the person prevails, the person may recover attorney's fees and court costs resulting from bringing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municipality's governmental immunity to suit and governmental immunity from liability are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