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88R13108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H.B.</w:t>
      </w:r>
      <w:r xml:space="preserve">
        <w:t> </w:t>
      </w:r>
      <w:r>
        <w:t xml:space="preserve">No.</w:t>
      </w:r>
      <w:r xml:space="preserve">
        <w:t> </w:t>
      </w:r>
      <w:r>
        <w:t xml:space="preserve">3951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pilot program using average enrollment for purposes of the public school finance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48, Education Code, is amended by adding Section 48.0052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48.0052.</w:t>
      </w:r>
      <w:r>
        <w:rPr>
          <w:u w:val="single"/>
        </w:rPr>
        <w:t xml:space="preserve"> </w:t>
      </w:r>
      <w:r>
        <w:rPr>
          <w:u w:val="single"/>
        </w:rPr>
        <w:t xml:space="preserve"> </w:t>
      </w:r>
      <w:r>
        <w:rPr>
          <w:u w:val="single"/>
        </w:rPr>
        <w:t xml:space="preserve">AVERAGE ENROLLMENT PILOT PROGRAM.  (a) </w:t>
      </w:r>
      <w:r>
        <w:rPr>
          <w:u w:val="single"/>
        </w:rPr>
        <w:t xml:space="preserve"> </w:t>
      </w:r>
      <w:r>
        <w:rPr>
          <w:u w:val="single"/>
        </w:rPr>
        <w:t xml:space="preserve">The commissioner by rule shall establish a pilot program under which participating school districts and open-enrollment charter schools receive funding under the public school finance system based on average enrollment instead of average daily attendance.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must apply to participate in the pilot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practicable, the commissioner shall approve for participation in the pilot program: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five school districts with a student enrollment as follows: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one district with a student enrollment of 1,500 or less;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one district with a student enrollment of more than 1,500 but not more than 5,000;</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one district with a student enrollment of more than 5,000 but not more than 20,000;</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one district with a student enrollment of more than 20,000 but less than 50,000;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one district with a student enrollment of 50,000 or more;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three open-enrollment charter schools of three different sizes, as determined by the commissioner.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Under the pilot program, the commissioner shall, for each participating school district or open-enrollment charter school, for the 2023-2024 and 2024-2025 school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reduce by $200 the amount of the basic allotment determined under Section 48.051 for each student enrolled in the district or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calculate the district's or school's entitlement under Chapter 46 and this chapter using the average number of students enrolled at the district or school instead of the district's or school's average daily attendance determined under Section 48.005;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make the payments from the foundation school fund to the district or school under Section 48.273 in four equal amounts on or before dates determined by commissioner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December 1, 2024, the commissioner shall submit to the legislature a written report on the results of the pilot program and any recommendations for legislative or other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may adopt rules as necessary to implement the pilot program.</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expires September 1, 2025.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