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88R14417 CJD-D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Smith</w:t>
      </w:r>
      <w:r xml:space="preserve">
        <w:tab wTab="150" tlc="none" cTlc="0"/>
      </w:r>
      <w:r>
        <w:t xml:space="preserve">H.B.</w:t>
      </w:r>
      <w:r xml:space="preserve">
        <w:t> </w:t>
      </w:r>
      <w:r>
        <w:t xml:space="preserve">No.</w:t>
      </w:r>
      <w:r xml:space="preserve">
        <w:t> </w:t>
      </w:r>
      <w:r>
        <w:t xml:space="preserve">3957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of a rapid DNA analysis pilot program in certain counties.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G, Chapter 411, Government Code, is amended by adding Section 411.1465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411.1465.</w:t>
      </w:r>
      <w:r>
        <w:rPr>
          <w:u w:val="single"/>
        </w:rPr>
        <w:t xml:space="preserve"> </w:t>
      </w:r>
      <w:r>
        <w:rPr>
          <w:u w:val="single"/>
        </w:rPr>
        <w:t xml:space="preserve"> </w:t>
      </w:r>
      <w:r>
        <w:rPr>
          <w:u w:val="single"/>
        </w:rPr>
        <w:t xml:space="preserve">RAPID DNA ANALYSIS PILOT PROGRAM.  (a)  In this section, "rapid DNA analysis" means the fully automated processing of a reference buccal swab sample to provide a DNA record that is eligible for comparison in the CODIS database in not more than 24 hours.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establish a pilot program to optimize the process of reporting DNA records by assisting law enforcement agencies in implementing rapid DNA analysis of DNA samples collected under this subchapter.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Beginning September 1, 2023, the pilot program shall operate and assist law enforcement agencies with jurisdiction in the following counties: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 Paso;</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Galveston;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Montgomery;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Tarrant;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Travis.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Beginning September 1, 2024, the department shall expand the pilot program to assist law enforcement agencies with jurisdiction in the following counties: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Bexar;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Collin;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Dallas;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Harris;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Hidalgo.</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department and each law enforcement agency subject to this section may consult with the Federal Bureau of Investigation regarding rapid DNA analysis implementation and best practices.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 later than January 1, 2026, the department shall review the pilot program established under this section and submit a written report to the legislature on the progress made by the pilot program in optimizing the reporting of DNA records and any recommendations regarding the continuation or expansion of the program.</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department may solicit and accept gifts, grants, and donations from any public or private source to fund the pilot program.</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department may adopt rules as necessary to implement this section.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This section expires September 1, 2025.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3957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